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D22" w:rsidRPr="00C47D22" w:rsidRDefault="00C47D22" w:rsidP="00C47D22">
      <w:pPr>
        <w:spacing w:line="276" w:lineRule="auto"/>
        <w:jc w:val="center"/>
        <w:rPr>
          <w:rFonts w:ascii="Arial" w:hAnsi="Arial" w:cs="Arial"/>
          <w:b/>
          <w:sz w:val="22"/>
          <w:szCs w:val="22"/>
        </w:rPr>
      </w:pPr>
      <w:r w:rsidRPr="00C47D22">
        <w:rPr>
          <w:rFonts w:ascii="Arial" w:hAnsi="Arial" w:cs="Arial"/>
          <w:b/>
          <w:sz w:val="22"/>
          <w:szCs w:val="22"/>
        </w:rPr>
        <w:t>BEFORE THE ODISHA ELECTRICITY REGULATORY COMMISSION, BIDYUT NIYAMAK BHAWAN, Unit-VIII, BHUBANESWAR</w:t>
      </w:r>
    </w:p>
    <w:p w:rsidR="00C47D22" w:rsidRPr="00C47D22" w:rsidRDefault="00C47D22" w:rsidP="00C47D22">
      <w:pPr>
        <w:tabs>
          <w:tab w:val="left" w:pos="7110"/>
        </w:tabs>
        <w:spacing w:line="276" w:lineRule="auto"/>
        <w:jc w:val="right"/>
        <w:rPr>
          <w:rFonts w:ascii="Arial" w:hAnsi="Arial" w:cs="Arial"/>
          <w:b/>
          <w:sz w:val="22"/>
          <w:szCs w:val="22"/>
          <w:u w:val="single"/>
        </w:rPr>
      </w:pPr>
      <w:r w:rsidRPr="00C47D22">
        <w:rPr>
          <w:rFonts w:ascii="Arial" w:hAnsi="Arial" w:cs="Arial"/>
          <w:sz w:val="22"/>
          <w:szCs w:val="22"/>
        </w:rPr>
        <w:t xml:space="preserve">                                                                                         </w:t>
      </w:r>
      <w:r w:rsidRPr="00C47D22">
        <w:rPr>
          <w:rFonts w:ascii="Arial" w:hAnsi="Arial" w:cs="Arial"/>
          <w:sz w:val="22"/>
          <w:szCs w:val="22"/>
        </w:rPr>
        <w:tab/>
      </w:r>
      <w:r w:rsidRPr="00C47D22">
        <w:rPr>
          <w:rFonts w:ascii="Arial" w:hAnsi="Arial" w:cs="Arial"/>
          <w:b/>
          <w:sz w:val="22"/>
          <w:szCs w:val="22"/>
          <w:u w:val="single"/>
        </w:rPr>
        <w:t xml:space="preserve">Case No. </w:t>
      </w:r>
      <w:r w:rsidR="000C6D5F">
        <w:rPr>
          <w:rFonts w:ascii="Arial" w:hAnsi="Arial" w:cs="Arial"/>
          <w:b/>
          <w:sz w:val="22"/>
          <w:szCs w:val="22"/>
          <w:u w:val="single"/>
        </w:rPr>
        <w:t>71</w:t>
      </w:r>
      <w:r w:rsidRPr="00C47D22">
        <w:rPr>
          <w:rFonts w:ascii="Arial" w:hAnsi="Arial" w:cs="Arial"/>
          <w:b/>
          <w:sz w:val="22"/>
          <w:szCs w:val="22"/>
          <w:u w:val="single"/>
        </w:rPr>
        <w:t>/201</w:t>
      </w:r>
      <w:r w:rsidR="000C6D5F">
        <w:rPr>
          <w:rFonts w:ascii="Arial" w:hAnsi="Arial" w:cs="Arial"/>
          <w:b/>
          <w:sz w:val="22"/>
          <w:szCs w:val="22"/>
          <w:u w:val="single"/>
        </w:rPr>
        <w:t>4</w:t>
      </w:r>
    </w:p>
    <w:p w:rsidR="00AD26A3" w:rsidRPr="00C47D22" w:rsidRDefault="00AD26A3" w:rsidP="00AD26A3">
      <w:pPr>
        <w:pStyle w:val="BodyTextIndent2"/>
        <w:spacing w:line="276" w:lineRule="auto"/>
        <w:ind w:left="2880" w:hanging="2880"/>
        <w:jc w:val="both"/>
        <w:rPr>
          <w:rFonts w:ascii="Arial" w:hAnsi="Arial" w:cs="Arial"/>
          <w:b/>
          <w:sz w:val="22"/>
          <w:szCs w:val="22"/>
        </w:rPr>
      </w:pPr>
    </w:p>
    <w:p w:rsidR="00AD26A3" w:rsidRPr="00C47D22" w:rsidRDefault="00AD26A3" w:rsidP="00AD26A3">
      <w:pPr>
        <w:pStyle w:val="BodyTextIndent2"/>
        <w:spacing w:line="276" w:lineRule="auto"/>
        <w:ind w:left="2835" w:hanging="2835"/>
        <w:jc w:val="both"/>
        <w:rPr>
          <w:rFonts w:ascii="Arial" w:hAnsi="Arial" w:cs="Arial"/>
          <w:sz w:val="22"/>
          <w:szCs w:val="22"/>
        </w:rPr>
      </w:pPr>
      <w:r w:rsidRPr="00C47D22">
        <w:rPr>
          <w:rFonts w:ascii="Arial" w:hAnsi="Arial" w:cs="Arial"/>
          <w:b/>
          <w:sz w:val="22"/>
          <w:szCs w:val="22"/>
        </w:rPr>
        <w:t xml:space="preserve">IN THE MATTER OF: </w:t>
      </w:r>
      <w:r w:rsidRPr="00C47D22">
        <w:rPr>
          <w:rFonts w:ascii="Arial" w:hAnsi="Arial" w:cs="Arial"/>
          <w:sz w:val="22"/>
          <w:szCs w:val="22"/>
        </w:rPr>
        <w:t xml:space="preserve">North Eastern Electricity Supply Company of Orissa Limited (NESCO),    </w:t>
      </w:r>
    </w:p>
    <w:p w:rsidR="00AD26A3" w:rsidRPr="00C47D22" w:rsidRDefault="00AD26A3" w:rsidP="00AD26A3">
      <w:pPr>
        <w:pStyle w:val="BodyTextIndent2"/>
        <w:spacing w:line="276" w:lineRule="auto"/>
        <w:ind w:left="2880" w:hanging="2880"/>
        <w:jc w:val="both"/>
        <w:rPr>
          <w:rFonts w:ascii="Arial" w:hAnsi="Arial" w:cs="Arial"/>
          <w:b/>
          <w:sz w:val="22"/>
          <w:szCs w:val="22"/>
        </w:rPr>
      </w:pPr>
    </w:p>
    <w:p w:rsidR="00174583" w:rsidRPr="00C47D22" w:rsidRDefault="00AD26A3" w:rsidP="004B7326">
      <w:pPr>
        <w:spacing w:line="276" w:lineRule="auto"/>
        <w:ind w:left="1980" w:firstLine="720"/>
        <w:rPr>
          <w:rFonts w:ascii="Arial" w:hAnsi="Arial" w:cs="Arial"/>
          <w:b/>
          <w:sz w:val="22"/>
          <w:szCs w:val="22"/>
        </w:rPr>
      </w:pPr>
      <w:r w:rsidRPr="00C47D22">
        <w:rPr>
          <w:rFonts w:ascii="Arial" w:hAnsi="Arial" w:cs="Arial"/>
          <w:sz w:val="22"/>
          <w:szCs w:val="22"/>
        </w:rPr>
        <w:t xml:space="preserve">   </w:t>
      </w:r>
      <w:r w:rsidRPr="00C47D22">
        <w:rPr>
          <w:rFonts w:ascii="Arial" w:hAnsi="Arial" w:cs="Arial"/>
          <w:b/>
          <w:sz w:val="22"/>
          <w:szCs w:val="22"/>
        </w:rPr>
        <w:t xml:space="preserve">AND </w:t>
      </w:r>
    </w:p>
    <w:p w:rsidR="00AD26A3" w:rsidRPr="00C47D22" w:rsidRDefault="00AD26A3" w:rsidP="004B7326">
      <w:pPr>
        <w:spacing w:line="276" w:lineRule="auto"/>
        <w:ind w:left="1980" w:firstLine="720"/>
        <w:rPr>
          <w:rFonts w:ascii="Arial" w:hAnsi="Arial" w:cs="Arial"/>
          <w:sz w:val="22"/>
          <w:szCs w:val="22"/>
        </w:rPr>
      </w:pPr>
    </w:p>
    <w:p w:rsidR="007921D5" w:rsidRPr="00C47D22" w:rsidRDefault="00AD26A3" w:rsidP="00AD26A3">
      <w:pPr>
        <w:pStyle w:val="BodyTextIndent2"/>
        <w:spacing w:line="276" w:lineRule="auto"/>
        <w:ind w:left="2835" w:hanging="2835"/>
        <w:rPr>
          <w:rFonts w:ascii="Arial" w:hAnsi="Arial" w:cs="Arial"/>
          <w:b/>
          <w:sz w:val="22"/>
          <w:szCs w:val="22"/>
        </w:rPr>
      </w:pPr>
      <w:r w:rsidRPr="00C47D22">
        <w:rPr>
          <w:rFonts w:ascii="Arial" w:hAnsi="Arial" w:cs="Arial"/>
          <w:b/>
          <w:sz w:val="22"/>
          <w:szCs w:val="22"/>
        </w:rPr>
        <w:t>IN THE MATTER OF</w:t>
      </w:r>
      <w:r w:rsidR="00174583" w:rsidRPr="00C47D22">
        <w:rPr>
          <w:rFonts w:ascii="Arial" w:hAnsi="Arial" w:cs="Arial"/>
          <w:b/>
          <w:sz w:val="22"/>
          <w:szCs w:val="22"/>
        </w:rPr>
        <w:t xml:space="preserve">: </w:t>
      </w:r>
      <w:r w:rsidRPr="00C47D22">
        <w:rPr>
          <w:rFonts w:ascii="Arial" w:hAnsi="Arial" w:cs="Arial"/>
          <w:b/>
          <w:sz w:val="22"/>
          <w:szCs w:val="22"/>
        </w:rPr>
        <w:t xml:space="preserve">      </w:t>
      </w:r>
      <w:r w:rsidR="007921D5" w:rsidRPr="00C47D22">
        <w:rPr>
          <w:rFonts w:ascii="Arial" w:hAnsi="Arial" w:cs="Arial"/>
          <w:sz w:val="22"/>
          <w:szCs w:val="22"/>
        </w:rPr>
        <w:t>M/</w:t>
      </w:r>
      <w:r w:rsidRPr="00C47D22">
        <w:rPr>
          <w:rFonts w:ascii="Arial" w:hAnsi="Arial" w:cs="Arial"/>
          <w:sz w:val="22"/>
          <w:szCs w:val="22"/>
        </w:rPr>
        <w:t xml:space="preserve">s. </w:t>
      </w:r>
      <w:r w:rsidR="007921D5" w:rsidRPr="00C47D22">
        <w:rPr>
          <w:rFonts w:ascii="Arial" w:hAnsi="Arial" w:cs="Arial"/>
          <w:sz w:val="22"/>
          <w:szCs w:val="22"/>
        </w:rPr>
        <w:t xml:space="preserve"> </w:t>
      </w:r>
      <w:r w:rsidR="00A05511">
        <w:rPr>
          <w:rFonts w:ascii="Arial" w:hAnsi="Arial" w:cs="Arial"/>
          <w:sz w:val="22"/>
          <w:szCs w:val="22"/>
        </w:rPr>
        <w:t>Visa Steel Ltd., Kalinganagar Industrial Complex,Jajpur.</w:t>
      </w:r>
    </w:p>
    <w:p w:rsidR="007921D5" w:rsidRPr="00C47D22" w:rsidRDefault="007921D5" w:rsidP="004B7326">
      <w:pPr>
        <w:pStyle w:val="BodyTextIndent2"/>
        <w:tabs>
          <w:tab w:val="left" w:pos="720"/>
          <w:tab w:val="left" w:pos="1440"/>
          <w:tab w:val="left" w:pos="6200"/>
        </w:tabs>
        <w:spacing w:line="276" w:lineRule="auto"/>
        <w:ind w:left="2700" w:hanging="2700"/>
        <w:rPr>
          <w:rFonts w:ascii="Arial" w:hAnsi="Arial" w:cs="Arial"/>
          <w:b/>
          <w:sz w:val="22"/>
          <w:szCs w:val="22"/>
        </w:rPr>
      </w:pP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p>
    <w:p w:rsidR="007921D5" w:rsidRPr="00A05511" w:rsidRDefault="007921D5" w:rsidP="00B97F39">
      <w:pPr>
        <w:pStyle w:val="BodyTextIndent2"/>
        <w:spacing w:line="276" w:lineRule="auto"/>
        <w:ind w:left="0" w:firstLine="0"/>
        <w:jc w:val="both"/>
        <w:rPr>
          <w:rFonts w:ascii="Arial" w:hAnsi="Arial" w:cs="Arial"/>
          <w:b/>
          <w:sz w:val="22"/>
          <w:szCs w:val="22"/>
          <w:u w:val="single"/>
        </w:rPr>
      </w:pPr>
      <w:r w:rsidRPr="00A05511">
        <w:rPr>
          <w:rFonts w:ascii="Arial" w:hAnsi="Arial" w:cs="Arial"/>
          <w:b/>
          <w:sz w:val="22"/>
          <w:szCs w:val="22"/>
          <w:u w:val="single"/>
        </w:rPr>
        <w:t xml:space="preserve">Rejoinder to the objection filed by </w:t>
      </w:r>
      <w:r w:rsidR="00B97F39" w:rsidRPr="00A05511">
        <w:rPr>
          <w:rFonts w:ascii="Arial" w:hAnsi="Arial" w:cs="Arial"/>
          <w:b/>
          <w:sz w:val="22"/>
          <w:szCs w:val="22"/>
          <w:u w:val="single"/>
        </w:rPr>
        <w:t xml:space="preserve">M/s.  </w:t>
      </w:r>
      <w:r w:rsidR="00A05511">
        <w:rPr>
          <w:rFonts w:ascii="Arial" w:hAnsi="Arial" w:cs="Arial"/>
          <w:b/>
          <w:sz w:val="22"/>
          <w:szCs w:val="22"/>
          <w:u w:val="single"/>
        </w:rPr>
        <w:t>Visa Steel Ltd</w:t>
      </w:r>
      <w:r w:rsidR="00B97F39" w:rsidRPr="00A05511">
        <w:rPr>
          <w:rFonts w:ascii="Arial" w:hAnsi="Arial" w:cs="Arial"/>
          <w:b/>
          <w:sz w:val="22"/>
          <w:szCs w:val="22"/>
          <w:u w:val="single"/>
        </w:rPr>
        <w:t xml:space="preserve">, </w:t>
      </w:r>
      <w:r w:rsidR="00A05511">
        <w:rPr>
          <w:rFonts w:ascii="Arial" w:hAnsi="Arial" w:cs="Arial"/>
          <w:b/>
          <w:sz w:val="22"/>
          <w:szCs w:val="22"/>
          <w:u w:val="single"/>
        </w:rPr>
        <w:t>Jajpur</w:t>
      </w:r>
      <w:r w:rsidR="00B97F39" w:rsidRPr="00A05511">
        <w:rPr>
          <w:rFonts w:ascii="Arial" w:hAnsi="Arial" w:cs="Arial"/>
          <w:b/>
          <w:sz w:val="22"/>
          <w:szCs w:val="22"/>
          <w:u w:val="single"/>
        </w:rPr>
        <w:t xml:space="preserve"> </w:t>
      </w:r>
      <w:r w:rsidRPr="00A05511">
        <w:rPr>
          <w:rFonts w:ascii="Arial" w:hAnsi="Arial" w:cs="Arial"/>
          <w:b/>
          <w:sz w:val="22"/>
          <w:szCs w:val="22"/>
          <w:u w:val="single"/>
        </w:rPr>
        <w:t xml:space="preserve">against the Annual Revenue Requirement &amp; Retail Supply Tariff Application </w:t>
      </w:r>
      <w:r w:rsidR="00A0704D" w:rsidRPr="00A05511">
        <w:rPr>
          <w:rFonts w:ascii="Arial" w:hAnsi="Arial" w:cs="Arial"/>
          <w:b/>
          <w:sz w:val="22"/>
          <w:szCs w:val="22"/>
          <w:u w:val="single"/>
        </w:rPr>
        <w:t>filed by NESCO for the year 201</w:t>
      </w:r>
      <w:r w:rsidR="000C6D5F">
        <w:rPr>
          <w:rFonts w:ascii="Arial" w:hAnsi="Arial" w:cs="Arial"/>
          <w:b/>
          <w:sz w:val="22"/>
          <w:szCs w:val="22"/>
          <w:u w:val="single"/>
        </w:rPr>
        <w:t>5</w:t>
      </w:r>
      <w:r w:rsidR="00A0704D" w:rsidRPr="00A05511">
        <w:rPr>
          <w:rFonts w:ascii="Arial" w:hAnsi="Arial" w:cs="Arial"/>
          <w:b/>
          <w:sz w:val="22"/>
          <w:szCs w:val="22"/>
          <w:u w:val="single"/>
        </w:rPr>
        <w:t>-1</w:t>
      </w:r>
      <w:r w:rsidR="000C6D5F">
        <w:rPr>
          <w:rFonts w:ascii="Arial" w:hAnsi="Arial" w:cs="Arial"/>
          <w:b/>
          <w:sz w:val="22"/>
          <w:szCs w:val="22"/>
          <w:u w:val="single"/>
        </w:rPr>
        <w:t>6</w:t>
      </w:r>
    </w:p>
    <w:p w:rsidR="00A0704D" w:rsidRPr="00C47D22" w:rsidRDefault="00A0704D" w:rsidP="004B7326">
      <w:pPr>
        <w:pStyle w:val="BodyTextIndent2"/>
        <w:spacing w:line="276" w:lineRule="auto"/>
        <w:ind w:left="0" w:firstLine="0"/>
        <w:jc w:val="both"/>
        <w:rPr>
          <w:rFonts w:ascii="Arial" w:hAnsi="Arial" w:cs="Arial"/>
          <w:b/>
          <w:sz w:val="22"/>
          <w:szCs w:val="22"/>
          <w:u w:val="single"/>
        </w:rPr>
      </w:pP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Employee Cost:</w:t>
      </w:r>
    </w:p>
    <w:p w:rsidR="004D2478" w:rsidRDefault="004D2478" w:rsidP="004D2478">
      <w:pPr>
        <w:pStyle w:val="NoSpacing"/>
        <w:ind w:left="720" w:firstLine="720"/>
        <w:jc w:val="both"/>
        <w:rPr>
          <w:rFonts w:ascii="Arial" w:hAnsi="Arial" w:cs="Arial"/>
        </w:rPr>
      </w:pPr>
    </w:p>
    <w:p w:rsidR="004D2478" w:rsidRPr="00A4297C" w:rsidRDefault="004D2478" w:rsidP="004D2478">
      <w:pPr>
        <w:pStyle w:val="NoSpacing"/>
        <w:ind w:left="720" w:firstLine="720"/>
        <w:jc w:val="both"/>
        <w:rPr>
          <w:rFonts w:ascii="Arial" w:hAnsi="Arial" w:cs="Arial"/>
        </w:rPr>
      </w:pPr>
      <w:r w:rsidRPr="00A4297C">
        <w:rPr>
          <w:rFonts w:ascii="Arial" w:hAnsi="Arial" w:cs="Arial"/>
        </w:rPr>
        <w:t xml:space="preserve">NESCO has estimated employee expenses in its ARR application based on the best judgement taking the approach of historical cost and loading the normative increase, expected DA dose and projection of terminal benefits as derived by the expert. It is a fact that, consequent upon unbundling of erstwhile OSEB, NESCO had about 4600 nos. of employees during the appointment date and shall reach to level below </w:t>
      </w:r>
      <w:r w:rsidRPr="001B0CCC">
        <w:rPr>
          <w:rFonts w:ascii="Arial" w:hAnsi="Arial" w:cs="Arial"/>
        </w:rPr>
        <w:t>3116</w:t>
      </w:r>
      <w:r w:rsidRPr="00A4297C">
        <w:rPr>
          <w:rFonts w:ascii="Arial" w:hAnsi="Arial" w:cs="Arial"/>
        </w:rPr>
        <w:t xml:space="preserve"> as expected by the end of FY 201</w:t>
      </w:r>
      <w:r>
        <w:rPr>
          <w:rFonts w:ascii="Arial" w:hAnsi="Arial" w:cs="Arial"/>
        </w:rPr>
        <w:t>5</w:t>
      </w:r>
      <w:r w:rsidRPr="00A4297C">
        <w:rPr>
          <w:rFonts w:ascii="Arial" w:hAnsi="Arial" w:cs="Arial"/>
        </w:rPr>
        <w:t>-1</w:t>
      </w:r>
      <w:r>
        <w:rPr>
          <w:rFonts w:ascii="Arial" w:hAnsi="Arial" w:cs="Arial"/>
        </w:rPr>
        <w:t>6</w:t>
      </w:r>
      <w:r w:rsidRPr="00A4297C">
        <w:rPr>
          <w:rFonts w:ascii="Arial" w:hAnsi="Arial" w:cs="Arial"/>
        </w:rPr>
        <w:t xml:space="preserve">. In between, NESCO is getting some of the works through outsource activities and the payments so made are of statutory in nature and tantamount contractual obligations being the principal employer and as such disclosed in the ARR as Contractual Obligations under Employee Cost.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The rise of employee cost despite being the reduction of nos. of employees is due to the fact of implementation of 6</w:t>
      </w:r>
      <w:r w:rsidRPr="00A4297C">
        <w:rPr>
          <w:rFonts w:ascii="Arial" w:hAnsi="Arial" w:cs="Arial"/>
          <w:vertAlign w:val="superscript"/>
        </w:rPr>
        <w:t>th</w:t>
      </w:r>
      <w:r w:rsidRPr="00A4297C">
        <w:rPr>
          <w:rFonts w:ascii="Arial" w:hAnsi="Arial" w:cs="Arial"/>
        </w:rPr>
        <w:t xml:space="preserve"> Pay Wage Revision and the regular increase of DA dose to which the NESCO is duty bound as the service conditions of all the employees shall apply mutatis mutandis to that of the parent company GRIDCO’s/OPTCL’s employees.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NESCO being duty bound in discharging the employee payments as per the statute and is linked directly with the Central/State Govt. Payment scale viz. implementation of regular increase of DA dose and contribution to the trust for terminal benefits, the contention of the objector being the Employee Cost as controllable doesn’t hold good.</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Pr>
          <w:rFonts w:ascii="Arial" w:hAnsi="Arial" w:cs="Arial"/>
        </w:rPr>
        <w:t>For other details Objector may refer para 2.4 of ARR application.</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 xml:space="preserve">Hence, the Commission may be pleased to allow the Employee Cost so estimated and submitted by NESCO. </w:t>
      </w:r>
    </w:p>
    <w:p w:rsidR="004D2478" w:rsidRDefault="004D2478" w:rsidP="004D2478">
      <w:pPr>
        <w:ind w:left="720"/>
        <w:jc w:val="both"/>
        <w:rPr>
          <w:rFonts w:ascii="Arial" w:hAnsi="Arial" w:cs="Arial"/>
          <w:b/>
          <w:sz w:val="22"/>
          <w:szCs w:val="22"/>
          <w:u w:val="single"/>
          <w:lang w:val="en-GB"/>
        </w:rPr>
      </w:pPr>
    </w:p>
    <w:p w:rsidR="004D2478" w:rsidRPr="00E828B3" w:rsidRDefault="004D2478" w:rsidP="004D2478">
      <w:pPr>
        <w:numPr>
          <w:ilvl w:val="0"/>
          <w:numId w:val="5"/>
        </w:numPr>
        <w:ind w:hanging="720"/>
        <w:jc w:val="both"/>
        <w:rPr>
          <w:rFonts w:ascii="Arial" w:hAnsi="Arial" w:cs="Arial"/>
          <w:b/>
          <w:sz w:val="22"/>
          <w:szCs w:val="22"/>
          <w:u w:val="single"/>
          <w:lang w:val="en-GB"/>
        </w:rPr>
      </w:pPr>
      <w:r w:rsidRPr="00E828B3">
        <w:rPr>
          <w:rFonts w:ascii="Arial" w:hAnsi="Arial" w:cs="Arial"/>
          <w:b/>
          <w:sz w:val="22"/>
          <w:szCs w:val="22"/>
          <w:u w:val="single"/>
          <w:lang w:val="en-GB"/>
        </w:rPr>
        <w:t>A&amp;G Expenses:</w:t>
      </w:r>
    </w:p>
    <w:p w:rsidR="004D2478" w:rsidRDefault="004D2478" w:rsidP="004D2478">
      <w:pPr>
        <w:pStyle w:val="NoSpacing"/>
        <w:ind w:left="720"/>
        <w:jc w:val="both"/>
        <w:rPr>
          <w:rFonts w:ascii="Arial" w:hAnsi="Arial" w:cs="Arial"/>
        </w:rPr>
      </w:pPr>
    </w:p>
    <w:p w:rsidR="00DF702C" w:rsidRPr="00A4297C" w:rsidRDefault="00DF702C" w:rsidP="00DF702C">
      <w:pPr>
        <w:pStyle w:val="NoSpacing"/>
        <w:ind w:left="720" w:firstLine="720"/>
        <w:jc w:val="both"/>
        <w:rPr>
          <w:rFonts w:ascii="Arial" w:hAnsi="Arial" w:cs="Arial"/>
        </w:rPr>
      </w:pPr>
      <w:r w:rsidRPr="00A4297C">
        <w:rPr>
          <w:rFonts w:ascii="Arial" w:hAnsi="Arial" w:cs="Arial"/>
        </w:rPr>
        <w:t xml:space="preserve">NESCO has estimated the Normal Administration and General Expenses to the tune of Rs. </w:t>
      </w:r>
      <w:r>
        <w:rPr>
          <w:rFonts w:ascii="Arial" w:hAnsi="Arial" w:cs="Arial"/>
        </w:rPr>
        <w:t>55</w:t>
      </w:r>
      <w:r w:rsidRPr="00A4297C">
        <w:rPr>
          <w:rFonts w:ascii="Arial" w:hAnsi="Arial" w:cs="Arial"/>
        </w:rPr>
        <w:t>.</w:t>
      </w:r>
      <w:r>
        <w:rPr>
          <w:rFonts w:ascii="Arial" w:hAnsi="Arial" w:cs="Arial"/>
        </w:rPr>
        <w:t>18</w:t>
      </w:r>
      <w:r w:rsidRPr="00A4297C">
        <w:rPr>
          <w:rFonts w:ascii="Arial" w:hAnsi="Arial" w:cs="Arial"/>
        </w:rPr>
        <w:t xml:space="preserve"> </w:t>
      </w:r>
      <w:r>
        <w:rPr>
          <w:rFonts w:ascii="Arial" w:hAnsi="Arial" w:cs="Arial"/>
        </w:rPr>
        <w:t>C</w:t>
      </w:r>
      <w:r w:rsidRPr="00A4297C">
        <w:rPr>
          <w:rFonts w:ascii="Arial" w:hAnsi="Arial" w:cs="Arial"/>
        </w:rPr>
        <w:t>rores</w:t>
      </w:r>
      <w:r>
        <w:rPr>
          <w:rFonts w:ascii="Arial" w:hAnsi="Arial" w:cs="Arial"/>
        </w:rPr>
        <w:t xml:space="preserve"> based on actual expenses till September-2014</w:t>
      </w:r>
      <w:r w:rsidRPr="00A4297C">
        <w:rPr>
          <w:rFonts w:ascii="Arial" w:hAnsi="Arial" w:cs="Arial"/>
        </w:rPr>
        <w:t xml:space="preserve"> for the </w:t>
      </w:r>
      <w:r>
        <w:rPr>
          <w:rFonts w:ascii="Arial" w:hAnsi="Arial" w:cs="Arial"/>
        </w:rPr>
        <w:t>ensuing</w:t>
      </w:r>
      <w:r w:rsidRPr="00A4297C">
        <w:rPr>
          <w:rFonts w:ascii="Arial" w:hAnsi="Arial" w:cs="Arial"/>
        </w:rPr>
        <w:t xml:space="preserve"> </w:t>
      </w:r>
      <w:r>
        <w:rPr>
          <w:rFonts w:ascii="Arial" w:hAnsi="Arial" w:cs="Arial"/>
        </w:rPr>
        <w:t xml:space="preserve">FY </w:t>
      </w:r>
      <w:r w:rsidRPr="00A4297C">
        <w:rPr>
          <w:rFonts w:ascii="Arial" w:hAnsi="Arial" w:cs="Arial"/>
        </w:rPr>
        <w:t>201</w:t>
      </w:r>
      <w:r>
        <w:rPr>
          <w:rFonts w:ascii="Arial" w:hAnsi="Arial" w:cs="Arial"/>
        </w:rPr>
        <w:t>5</w:t>
      </w:r>
      <w:r w:rsidRPr="00A4297C">
        <w:rPr>
          <w:rFonts w:ascii="Arial" w:hAnsi="Arial" w:cs="Arial"/>
        </w:rPr>
        <w:t>-1</w:t>
      </w:r>
      <w:r>
        <w:rPr>
          <w:rFonts w:ascii="Arial" w:hAnsi="Arial" w:cs="Arial"/>
        </w:rPr>
        <w:t>6</w:t>
      </w:r>
      <w:r w:rsidRPr="00A4297C">
        <w:rPr>
          <w:rFonts w:ascii="Arial" w:hAnsi="Arial" w:cs="Arial"/>
        </w:rPr>
        <w:t xml:space="preserve"> on the basis of normative increase @ 7 % over the actual due to inflation. In addition, NESCO has estimated additional A &amp; G expenses </w:t>
      </w:r>
      <w:r>
        <w:rPr>
          <w:rFonts w:ascii="Arial" w:hAnsi="Arial" w:cs="Arial"/>
        </w:rPr>
        <w:t>of</w:t>
      </w:r>
      <w:r w:rsidRPr="00A4297C">
        <w:rPr>
          <w:rFonts w:ascii="Arial" w:hAnsi="Arial" w:cs="Arial"/>
        </w:rPr>
        <w:t xml:space="preserve"> Rs. 2</w:t>
      </w:r>
      <w:r>
        <w:rPr>
          <w:rFonts w:ascii="Arial" w:hAnsi="Arial" w:cs="Arial"/>
        </w:rPr>
        <w:t>4</w:t>
      </w:r>
      <w:r w:rsidRPr="00A4297C">
        <w:rPr>
          <w:rFonts w:ascii="Arial" w:hAnsi="Arial" w:cs="Arial"/>
        </w:rPr>
        <w:t>.</w:t>
      </w:r>
      <w:r>
        <w:rPr>
          <w:rFonts w:ascii="Arial" w:hAnsi="Arial" w:cs="Arial"/>
        </w:rPr>
        <w:t>21</w:t>
      </w:r>
      <w:r w:rsidRPr="00A4297C">
        <w:rPr>
          <w:rFonts w:ascii="Arial" w:hAnsi="Arial" w:cs="Arial"/>
        </w:rPr>
        <w:t xml:space="preserve"> crores for the FY 201</w:t>
      </w:r>
      <w:r>
        <w:rPr>
          <w:rFonts w:ascii="Arial" w:hAnsi="Arial" w:cs="Arial"/>
        </w:rPr>
        <w:t>5</w:t>
      </w:r>
      <w:r w:rsidRPr="00A4297C">
        <w:rPr>
          <w:rFonts w:ascii="Arial" w:hAnsi="Arial" w:cs="Arial"/>
        </w:rPr>
        <w:t>-1</w:t>
      </w:r>
      <w:r>
        <w:rPr>
          <w:rFonts w:ascii="Arial" w:hAnsi="Arial" w:cs="Arial"/>
        </w:rPr>
        <w:t>6</w:t>
      </w:r>
      <w:r w:rsidRPr="00A4297C">
        <w:rPr>
          <w:rFonts w:ascii="Arial" w:hAnsi="Arial" w:cs="Arial"/>
        </w:rPr>
        <w:t xml:space="preserve"> in view of various operational initiatives for better customer satisfaction, improvement in performance, IT intervention etc. The increase of Administration and General Expenses is the resultant of decrease in the employee strength and subsequent outsourcing the billing, collection and other operational activities. </w:t>
      </w:r>
    </w:p>
    <w:p w:rsidR="004D2478" w:rsidRPr="00A4297C" w:rsidRDefault="004D2478" w:rsidP="004D2478">
      <w:pPr>
        <w:pStyle w:val="NoSpacing"/>
        <w:ind w:left="720" w:firstLine="720"/>
        <w:jc w:val="both"/>
        <w:rPr>
          <w:rFonts w:ascii="Arial" w:hAnsi="Arial" w:cs="Arial"/>
        </w:rPr>
      </w:pPr>
      <w:r w:rsidRPr="00A4297C">
        <w:rPr>
          <w:rFonts w:ascii="Arial" w:hAnsi="Arial" w:cs="Arial"/>
        </w:rPr>
        <w:t xml:space="preserve">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NESCO prepares its annual accounts in accordance to the Companies Act read with the provisions under Electricity Act 2003 and audited by the Joint Statutory Auditor. The Annual Audited accounts of the company are regularly submitted to Hon’ble Commission in due time.</w:t>
      </w:r>
    </w:p>
    <w:p w:rsidR="004D2478" w:rsidRDefault="004D2478" w:rsidP="004D2478">
      <w:pPr>
        <w:ind w:left="720"/>
        <w:jc w:val="both"/>
        <w:rPr>
          <w:rFonts w:ascii="Arial" w:hAnsi="Arial" w:cs="Arial"/>
          <w:b/>
          <w:sz w:val="22"/>
          <w:szCs w:val="22"/>
          <w:u w:val="single"/>
          <w:lang w:val="en-GB"/>
        </w:rPr>
      </w:pP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Depreciation Cost:</w:t>
      </w:r>
    </w:p>
    <w:p w:rsidR="004D2478" w:rsidRDefault="004D2478" w:rsidP="004D2478">
      <w:pPr>
        <w:pStyle w:val="NoSpacing"/>
        <w:ind w:left="720"/>
        <w:jc w:val="both"/>
        <w:rPr>
          <w:rFonts w:ascii="Arial" w:hAnsi="Arial" w:cs="Arial"/>
        </w:rPr>
      </w:pPr>
    </w:p>
    <w:p w:rsidR="004D2478" w:rsidRPr="00A4297C" w:rsidRDefault="004D2478" w:rsidP="004D2478">
      <w:pPr>
        <w:pStyle w:val="NoSpacing"/>
        <w:ind w:left="720" w:firstLine="720"/>
        <w:jc w:val="both"/>
        <w:rPr>
          <w:rFonts w:ascii="Arial" w:hAnsi="Arial" w:cs="Arial"/>
        </w:rPr>
      </w:pPr>
      <w:r w:rsidRPr="00A4297C">
        <w:rPr>
          <w:rFonts w:ascii="Arial" w:hAnsi="Arial" w:cs="Arial"/>
        </w:rPr>
        <w:t>NESCO has projected the Depreciation which is the resultant of the probable assets to be brought to the existing system based on the rates as notified under the Companies Act. Moreover various capital assets are created by way of grant and financial assistance of various agencies which results in the increase in the value of assets and thus shall amount to provide Depreciation for normal wear and tear and future replacement to those assets including the old assets.</w:t>
      </w:r>
    </w:p>
    <w:p w:rsidR="004D2478" w:rsidRDefault="004D2478" w:rsidP="004D2478">
      <w:pPr>
        <w:ind w:left="720"/>
        <w:jc w:val="both"/>
        <w:rPr>
          <w:rFonts w:ascii="Arial" w:hAnsi="Arial" w:cs="Arial"/>
          <w:b/>
          <w:sz w:val="22"/>
          <w:szCs w:val="22"/>
          <w:u w:val="single"/>
          <w:lang w:val="en-GB"/>
        </w:rPr>
      </w:pP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R&amp;M Expenses:</w:t>
      </w:r>
    </w:p>
    <w:p w:rsidR="004D2478" w:rsidRDefault="004D2478" w:rsidP="004D2478">
      <w:pPr>
        <w:pStyle w:val="NoSpacing"/>
        <w:ind w:left="720"/>
        <w:jc w:val="both"/>
        <w:rPr>
          <w:rFonts w:ascii="Arial" w:hAnsi="Arial" w:cs="Arial"/>
        </w:rPr>
      </w:pPr>
    </w:p>
    <w:p w:rsidR="004D2478" w:rsidRPr="00A4297C" w:rsidRDefault="004D2478" w:rsidP="004D2478">
      <w:pPr>
        <w:pStyle w:val="NoSpacing"/>
        <w:ind w:left="720" w:firstLine="720"/>
        <w:jc w:val="both"/>
        <w:rPr>
          <w:rFonts w:ascii="Arial" w:hAnsi="Arial" w:cs="Arial"/>
        </w:rPr>
      </w:pPr>
      <w:r w:rsidRPr="00A4297C">
        <w:rPr>
          <w:rFonts w:ascii="Arial" w:hAnsi="Arial" w:cs="Arial"/>
        </w:rPr>
        <w:t xml:space="preserve">The projection of Repair and Maintenance Expenses in the ARR so calculated and submitted is in accordance to the norms fixed by the Hon’ble Commission @ 5.4 % of opening G.F.A. </w:t>
      </w:r>
    </w:p>
    <w:p w:rsidR="004D2478" w:rsidRPr="00A4297C" w:rsidRDefault="004D2478" w:rsidP="004D2478">
      <w:pPr>
        <w:pStyle w:val="NoSpacing"/>
        <w:ind w:left="720"/>
        <w:jc w:val="both"/>
        <w:rPr>
          <w:rFonts w:ascii="Arial" w:hAnsi="Arial" w:cs="Arial"/>
        </w:rPr>
      </w:pPr>
    </w:p>
    <w:p w:rsidR="004D2478" w:rsidRDefault="004D2478" w:rsidP="004D2478">
      <w:pPr>
        <w:ind w:left="720" w:firstLine="720"/>
        <w:jc w:val="both"/>
        <w:rPr>
          <w:rFonts w:ascii="Arial" w:hAnsi="Arial" w:cs="Arial"/>
          <w:sz w:val="22"/>
          <w:szCs w:val="22"/>
        </w:rPr>
      </w:pPr>
      <w:r w:rsidRPr="00A4297C">
        <w:rPr>
          <w:rFonts w:ascii="Arial" w:hAnsi="Arial" w:cs="Arial"/>
          <w:sz w:val="22"/>
          <w:szCs w:val="22"/>
        </w:rPr>
        <w:t>NESCO has also submitted the quantum of assets created under RGGVY and BGVY scheme. It is prayed to allow the R &amp; M expenses on those assets as NESCO shall have to carry the normal R &amp; M activities to those assets for uninterrupted power supply.</w:t>
      </w:r>
    </w:p>
    <w:p w:rsidR="004D2478" w:rsidRPr="00A4297C" w:rsidRDefault="004D2478" w:rsidP="004D2478">
      <w:pPr>
        <w:ind w:left="720"/>
        <w:jc w:val="both"/>
        <w:rPr>
          <w:rFonts w:ascii="Arial" w:hAnsi="Arial" w:cs="Arial"/>
          <w:b/>
          <w:sz w:val="22"/>
          <w:szCs w:val="22"/>
          <w:u w:val="single"/>
          <w:lang w:val="en-GB"/>
        </w:rPr>
      </w:pP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Revenue Requirement:</w:t>
      </w:r>
    </w:p>
    <w:p w:rsidR="004D2478" w:rsidRDefault="004D2478" w:rsidP="004D2478">
      <w:pPr>
        <w:pStyle w:val="NoSpacing"/>
        <w:ind w:left="720" w:firstLine="720"/>
        <w:jc w:val="both"/>
        <w:rPr>
          <w:rFonts w:ascii="Arial" w:hAnsi="Arial" w:cs="Arial"/>
        </w:rPr>
      </w:pPr>
    </w:p>
    <w:p w:rsidR="004D2478" w:rsidRPr="00A4297C" w:rsidRDefault="004D2478" w:rsidP="004D2478">
      <w:pPr>
        <w:pStyle w:val="NoSpacing"/>
        <w:ind w:left="720" w:firstLine="720"/>
        <w:jc w:val="both"/>
        <w:rPr>
          <w:rFonts w:ascii="Arial" w:hAnsi="Arial" w:cs="Arial"/>
        </w:rPr>
      </w:pPr>
      <w:r w:rsidRPr="00A4297C">
        <w:rPr>
          <w:rFonts w:ascii="Arial" w:hAnsi="Arial" w:cs="Arial"/>
        </w:rPr>
        <w:t xml:space="preserve">NESCO has submitted an </w:t>
      </w:r>
      <w:r>
        <w:rPr>
          <w:rFonts w:ascii="Arial" w:hAnsi="Arial" w:cs="Arial"/>
        </w:rPr>
        <w:t xml:space="preserve">expenditure </w:t>
      </w:r>
      <w:r w:rsidRPr="00A4297C">
        <w:rPr>
          <w:rFonts w:ascii="Arial" w:hAnsi="Arial" w:cs="Arial"/>
        </w:rPr>
        <w:t>of Rs. 2</w:t>
      </w:r>
      <w:r>
        <w:rPr>
          <w:rFonts w:ascii="Arial" w:hAnsi="Arial" w:cs="Arial"/>
        </w:rPr>
        <w:t>302.28 Crores and the revenue from sale of power at existing tariff is</w:t>
      </w:r>
      <w:r w:rsidRPr="00A4297C">
        <w:rPr>
          <w:rFonts w:ascii="Arial" w:hAnsi="Arial" w:cs="Arial"/>
        </w:rPr>
        <w:t xml:space="preserve"> Rs. </w:t>
      </w:r>
      <w:r>
        <w:rPr>
          <w:rFonts w:ascii="Arial" w:hAnsi="Arial" w:cs="Arial"/>
        </w:rPr>
        <w:t>1812.30</w:t>
      </w:r>
      <w:r w:rsidRPr="00A4297C">
        <w:rPr>
          <w:rFonts w:ascii="Arial" w:hAnsi="Arial" w:cs="Arial"/>
        </w:rPr>
        <w:t xml:space="preserve"> </w:t>
      </w:r>
      <w:r>
        <w:rPr>
          <w:rFonts w:ascii="Arial" w:hAnsi="Arial" w:cs="Arial"/>
        </w:rPr>
        <w:t>Crores. T</w:t>
      </w:r>
      <w:r w:rsidRPr="00A4297C">
        <w:rPr>
          <w:rFonts w:ascii="Arial" w:hAnsi="Arial" w:cs="Arial"/>
        </w:rPr>
        <w:t>he Power Purchase cost at the existing BSP constitutes 70 % of overall Revenue Requirement. With the probable sales at the existing RST, NESCO can hardly generate surplus in discharging the Power Purchase cost to mitigate other running expenses. The contention of the objectors in determination of ARR doesn’t hold good.</w:t>
      </w:r>
    </w:p>
    <w:p w:rsidR="004D2478" w:rsidRDefault="004D2478" w:rsidP="004D2478">
      <w:pPr>
        <w:ind w:left="720"/>
        <w:jc w:val="both"/>
        <w:rPr>
          <w:rFonts w:ascii="Arial" w:hAnsi="Arial" w:cs="Arial"/>
          <w:b/>
          <w:sz w:val="22"/>
          <w:szCs w:val="22"/>
          <w:u w:val="single"/>
          <w:lang w:val="en-GB"/>
        </w:rPr>
      </w:pPr>
    </w:p>
    <w:p w:rsidR="004D2478" w:rsidRPr="00C47D22" w:rsidRDefault="004D2478" w:rsidP="004D2478">
      <w:pPr>
        <w:numPr>
          <w:ilvl w:val="0"/>
          <w:numId w:val="5"/>
        </w:numPr>
        <w:ind w:hanging="720"/>
        <w:jc w:val="both"/>
        <w:rPr>
          <w:rFonts w:ascii="Arial" w:hAnsi="Arial" w:cs="Arial"/>
          <w:b/>
          <w:sz w:val="22"/>
          <w:szCs w:val="22"/>
          <w:u w:val="single"/>
        </w:rPr>
      </w:pPr>
      <w:r w:rsidRPr="00C47D22">
        <w:rPr>
          <w:rFonts w:ascii="Arial" w:hAnsi="Arial" w:cs="Arial"/>
          <w:b/>
          <w:sz w:val="22"/>
          <w:szCs w:val="22"/>
          <w:u w:val="single"/>
        </w:rPr>
        <w:t>Distribution Loss</w:t>
      </w:r>
    </w:p>
    <w:p w:rsidR="004D2478" w:rsidRDefault="004D2478" w:rsidP="004D2478">
      <w:pPr>
        <w:pStyle w:val="ListParagraph"/>
        <w:tabs>
          <w:tab w:val="left" w:pos="0"/>
        </w:tabs>
        <w:jc w:val="both"/>
        <w:rPr>
          <w:rFonts w:ascii="Arial" w:hAnsi="Arial" w:cs="Arial"/>
          <w:sz w:val="22"/>
          <w:szCs w:val="22"/>
        </w:rPr>
      </w:pPr>
      <w:r>
        <w:rPr>
          <w:rFonts w:ascii="Arial" w:hAnsi="Arial" w:cs="Arial"/>
          <w:sz w:val="22"/>
          <w:szCs w:val="22"/>
        </w:rPr>
        <w:tab/>
      </w:r>
    </w:p>
    <w:p w:rsidR="004D2478" w:rsidRPr="00A4297C" w:rsidRDefault="004D2478" w:rsidP="004D2478">
      <w:pPr>
        <w:pStyle w:val="ListParagraph"/>
        <w:tabs>
          <w:tab w:val="left" w:pos="0"/>
        </w:tabs>
        <w:jc w:val="both"/>
        <w:rPr>
          <w:rFonts w:ascii="Arial" w:hAnsi="Arial" w:cs="Arial"/>
          <w:sz w:val="22"/>
          <w:szCs w:val="22"/>
        </w:rPr>
      </w:pPr>
      <w:r>
        <w:rPr>
          <w:rFonts w:ascii="Arial" w:hAnsi="Arial" w:cs="Arial"/>
          <w:sz w:val="22"/>
          <w:szCs w:val="22"/>
        </w:rPr>
        <w:tab/>
      </w:r>
      <w:r w:rsidR="00C82FA3" w:rsidRPr="00A4297C">
        <w:rPr>
          <w:rFonts w:ascii="Arial" w:hAnsi="Arial" w:cs="Arial"/>
          <w:sz w:val="22"/>
          <w:szCs w:val="22"/>
        </w:rPr>
        <w:t>Hon’ble Commission is approving the Distribution loss of the licensee on normative basis without considering the ground reality.</w:t>
      </w:r>
      <w:r w:rsidR="00C82FA3">
        <w:rPr>
          <w:rFonts w:ascii="Arial" w:hAnsi="Arial" w:cs="Arial"/>
          <w:sz w:val="22"/>
          <w:szCs w:val="22"/>
        </w:rPr>
        <w:t xml:space="preserve"> </w:t>
      </w:r>
      <w:r w:rsidR="00C82FA3" w:rsidRPr="006B60C4">
        <w:rPr>
          <w:rFonts w:ascii="Arial" w:hAnsi="Arial" w:cs="Arial"/>
          <w:sz w:val="22"/>
          <w:szCs w:val="22"/>
        </w:rPr>
        <w:t xml:space="preserve">While complying the ARR, the licensee has adopted the loss reduction trajectory of Ministry of Power, Govt. of India communicated through Govt. of Odisha for the FY 2014-2022. For the FY 2015-16, Distribution loss of 30.90% has been considered. </w:t>
      </w:r>
      <w:r w:rsidRPr="00A4297C">
        <w:rPr>
          <w:rFonts w:ascii="Arial" w:hAnsi="Arial" w:cs="Arial"/>
          <w:sz w:val="22"/>
          <w:szCs w:val="22"/>
        </w:rPr>
        <w:t xml:space="preserve">The T&amp;D loss target is need to be re- determined considering the detail submission made by the licensee in para </w:t>
      </w:r>
      <w:r>
        <w:rPr>
          <w:rFonts w:ascii="Arial" w:hAnsi="Arial" w:cs="Arial"/>
          <w:sz w:val="22"/>
          <w:szCs w:val="22"/>
        </w:rPr>
        <w:t>6</w:t>
      </w:r>
      <w:r w:rsidRPr="00A4297C">
        <w:rPr>
          <w:rFonts w:ascii="Arial" w:hAnsi="Arial" w:cs="Arial"/>
          <w:sz w:val="22"/>
          <w:szCs w:val="22"/>
        </w:rPr>
        <w:t>.</w:t>
      </w:r>
      <w:r>
        <w:rPr>
          <w:rFonts w:ascii="Arial" w:hAnsi="Arial" w:cs="Arial"/>
          <w:sz w:val="22"/>
          <w:szCs w:val="22"/>
        </w:rPr>
        <w:t>3</w:t>
      </w:r>
      <w:r w:rsidRPr="00A4297C">
        <w:rPr>
          <w:rFonts w:ascii="Arial" w:hAnsi="Arial" w:cs="Arial"/>
          <w:sz w:val="22"/>
          <w:szCs w:val="22"/>
        </w:rPr>
        <w:t xml:space="preserve">(Page </w:t>
      </w:r>
      <w:r>
        <w:rPr>
          <w:rFonts w:ascii="Arial" w:hAnsi="Arial" w:cs="Arial"/>
          <w:sz w:val="22"/>
          <w:szCs w:val="22"/>
        </w:rPr>
        <w:t>66-67</w:t>
      </w:r>
      <w:r w:rsidRPr="00A4297C">
        <w:rPr>
          <w:rFonts w:ascii="Arial" w:hAnsi="Arial" w:cs="Arial"/>
          <w:sz w:val="22"/>
          <w:szCs w:val="22"/>
        </w:rPr>
        <w:t>) of its ARR application.</w:t>
      </w:r>
      <w:r>
        <w:rPr>
          <w:rFonts w:ascii="Arial" w:hAnsi="Arial" w:cs="Arial"/>
          <w:sz w:val="22"/>
          <w:szCs w:val="22"/>
        </w:rPr>
        <w:t xml:space="preserve"> Regarding steps taken by Licensee to improve performance has been submitted in ARR Application under para 5.2.</w:t>
      </w:r>
    </w:p>
    <w:p w:rsidR="004D2478" w:rsidRPr="00A4297C" w:rsidRDefault="004D2478" w:rsidP="004D2478">
      <w:pPr>
        <w:pStyle w:val="ListParagraph"/>
        <w:tabs>
          <w:tab w:val="left" w:pos="0"/>
        </w:tabs>
        <w:jc w:val="both"/>
        <w:rPr>
          <w:rFonts w:ascii="Arial" w:hAnsi="Arial" w:cs="Arial"/>
          <w:sz w:val="22"/>
          <w:szCs w:val="22"/>
        </w:rPr>
      </w:pPr>
    </w:p>
    <w:p w:rsidR="004D2478" w:rsidRPr="00A4297C" w:rsidRDefault="004D2478" w:rsidP="004D2478">
      <w:pPr>
        <w:pStyle w:val="ListParagraph"/>
        <w:tabs>
          <w:tab w:val="left" w:pos="0"/>
        </w:tabs>
        <w:jc w:val="both"/>
        <w:rPr>
          <w:rFonts w:ascii="Arial" w:hAnsi="Arial" w:cs="Arial"/>
          <w:sz w:val="22"/>
          <w:szCs w:val="22"/>
        </w:rPr>
      </w:pPr>
    </w:p>
    <w:p w:rsidR="004D2478" w:rsidRPr="00C47D22" w:rsidRDefault="004D2478" w:rsidP="004D2478">
      <w:pPr>
        <w:numPr>
          <w:ilvl w:val="0"/>
          <w:numId w:val="5"/>
        </w:numPr>
        <w:ind w:hanging="720"/>
        <w:jc w:val="both"/>
        <w:rPr>
          <w:rFonts w:ascii="Arial" w:hAnsi="Arial" w:cs="Arial"/>
          <w:b/>
          <w:sz w:val="22"/>
          <w:szCs w:val="22"/>
          <w:u w:val="single"/>
          <w:lang w:val="en-GB"/>
        </w:rPr>
      </w:pPr>
      <w:r w:rsidRPr="00C47D22">
        <w:rPr>
          <w:rFonts w:ascii="Arial" w:hAnsi="Arial" w:cs="Arial"/>
          <w:b/>
          <w:sz w:val="22"/>
          <w:szCs w:val="22"/>
          <w:u w:val="single"/>
          <w:lang w:val="en-GB"/>
        </w:rPr>
        <w:t>Sales Forecast:</w:t>
      </w:r>
    </w:p>
    <w:p w:rsidR="004D2478" w:rsidRDefault="004D2478" w:rsidP="004D2478">
      <w:pPr>
        <w:pStyle w:val="BodyText2"/>
        <w:spacing w:line="240" w:lineRule="auto"/>
        <w:ind w:left="709" w:firstLine="720"/>
        <w:jc w:val="both"/>
        <w:rPr>
          <w:rFonts w:ascii="Arial" w:hAnsi="Arial" w:cs="Arial"/>
          <w:sz w:val="22"/>
          <w:szCs w:val="22"/>
        </w:rPr>
      </w:pPr>
    </w:p>
    <w:p w:rsidR="004D2478" w:rsidRPr="00C47D22" w:rsidRDefault="004D2478" w:rsidP="004D2478">
      <w:pPr>
        <w:pStyle w:val="BodyText2"/>
        <w:spacing w:line="240" w:lineRule="auto"/>
        <w:ind w:left="709" w:firstLine="720"/>
        <w:jc w:val="both"/>
        <w:rPr>
          <w:rFonts w:ascii="Arial" w:hAnsi="Arial" w:cs="Arial"/>
          <w:sz w:val="22"/>
          <w:szCs w:val="22"/>
        </w:rPr>
      </w:pPr>
      <w:r>
        <w:rPr>
          <w:rFonts w:ascii="Arial" w:hAnsi="Arial" w:cs="Arial"/>
          <w:sz w:val="22"/>
          <w:szCs w:val="22"/>
        </w:rPr>
        <w:t xml:space="preserve">The justification regarding sales forecast has already been submitted to Hon’ble Commission. Further clarification has been submitted to Hon’ble Commission in reply to additional queries and same available in applicant’s website. </w:t>
      </w:r>
      <w:r w:rsidRPr="00C47D22">
        <w:rPr>
          <w:rFonts w:ascii="Arial" w:hAnsi="Arial" w:cs="Arial"/>
          <w:sz w:val="22"/>
          <w:szCs w:val="22"/>
        </w:rPr>
        <w:t xml:space="preserve">For projecting the consumption of different categories, the Licensee has analyzed the past trends of </w:t>
      </w:r>
      <w:r w:rsidRPr="00C47D22">
        <w:rPr>
          <w:rFonts w:ascii="Arial" w:hAnsi="Arial" w:cs="Arial"/>
          <w:sz w:val="22"/>
          <w:szCs w:val="22"/>
        </w:rPr>
        <w:lastRenderedPageBreak/>
        <w:t>consumption pattern for last ten years i.e. FY 200</w:t>
      </w:r>
      <w:r>
        <w:rPr>
          <w:rFonts w:ascii="Arial" w:hAnsi="Arial" w:cs="Arial"/>
          <w:sz w:val="22"/>
          <w:szCs w:val="22"/>
        </w:rPr>
        <w:t>3</w:t>
      </w:r>
      <w:r w:rsidRPr="00C47D22">
        <w:rPr>
          <w:rFonts w:ascii="Arial" w:hAnsi="Arial" w:cs="Arial"/>
          <w:sz w:val="22"/>
          <w:szCs w:val="22"/>
        </w:rPr>
        <w:t>-200</w:t>
      </w:r>
      <w:r>
        <w:rPr>
          <w:rFonts w:ascii="Arial" w:hAnsi="Arial" w:cs="Arial"/>
          <w:sz w:val="22"/>
          <w:szCs w:val="22"/>
        </w:rPr>
        <w:t>4</w:t>
      </w:r>
      <w:r w:rsidRPr="00C47D22">
        <w:rPr>
          <w:rFonts w:ascii="Arial" w:hAnsi="Arial" w:cs="Arial"/>
          <w:sz w:val="22"/>
          <w:szCs w:val="22"/>
        </w:rPr>
        <w:t xml:space="preserve"> to FY 201</w:t>
      </w:r>
      <w:r>
        <w:rPr>
          <w:rFonts w:ascii="Arial" w:hAnsi="Arial" w:cs="Arial"/>
          <w:sz w:val="22"/>
          <w:szCs w:val="22"/>
        </w:rPr>
        <w:t>3</w:t>
      </w:r>
      <w:r w:rsidRPr="00C47D22">
        <w:rPr>
          <w:rFonts w:ascii="Arial" w:hAnsi="Arial" w:cs="Arial"/>
          <w:sz w:val="22"/>
          <w:szCs w:val="22"/>
        </w:rPr>
        <w:t>-1</w:t>
      </w:r>
      <w:r>
        <w:rPr>
          <w:rFonts w:ascii="Arial" w:hAnsi="Arial" w:cs="Arial"/>
          <w:sz w:val="22"/>
          <w:szCs w:val="22"/>
        </w:rPr>
        <w:t>4</w:t>
      </w:r>
      <w:r w:rsidRPr="00C47D22">
        <w:rPr>
          <w:rFonts w:ascii="Arial" w:hAnsi="Arial" w:cs="Arial"/>
          <w:sz w:val="22"/>
          <w:szCs w:val="22"/>
        </w:rPr>
        <w:t xml:space="preserve">. The same has been explained in detail under Para </w:t>
      </w:r>
      <w:r>
        <w:rPr>
          <w:rFonts w:ascii="Arial" w:hAnsi="Arial" w:cs="Arial"/>
          <w:sz w:val="22"/>
          <w:szCs w:val="22"/>
        </w:rPr>
        <w:t>2</w:t>
      </w:r>
      <w:r w:rsidRPr="00C47D22">
        <w:rPr>
          <w:rFonts w:ascii="Arial" w:hAnsi="Arial" w:cs="Arial"/>
          <w:sz w:val="22"/>
          <w:szCs w:val="22"/>
        </w:rPr>
        <w:t>.</w:t>
      </w:r>
      <w:r>
        <w:rPr>
          <w:rFonts w:ascii="Arial" w:hAnsi="Arial" w:cs="Arial"/>
          <w:sz w:val="22"/>
          <w:szCs w:val="22"/>
        </w:rPr>
        <w:t>3</w:t>
      </w:r>
      <w:r w:rsidRPr="00C47D22">
        <w:rPr>
          <w:rFonts w:ascii="Arial" w:hAnsi="Arial" w:cs="Arial"/>
          <w:sz w:val="22"/>
          <w:szCs w:val="22"/>
        </w:rPr>
        <w:t xml:space="preserve"> of ARR application for FY 201</w:t>
      </w:r>
      <w:r>
        <w:rPr>
          <w:rFonts w:ascii="Arial" w:hAnsi="Arial" w:cs="Arial"/>
          <w:sz w:val="22"/>
          <w:szCs w:val="22"/>
        </w:rPr>
        <w:t>5</w:t>
      </w:r>
      <w:r w:rsidRPr="00C47D22">
        <w:rPr>
          <w:rFonts w:ascii="Arial" w:hAnsi="Arial" w:cs="Arial"/>
          <w:sz w:val="22"/>
          <w:szCs w:val="22"/>
        </w:rPr>
        <w:t>-1</w:t>
      </w:r>
      <w:r>
        <w:rPr>
          <w:rFonts w:ascii="Arial" w:hAnsi="Arial" w:cs="Arial"/>
          <w:sz w:val="22"/>
          <w:szCs w:val="22"/>
        </w:rPr>
        <w:t>6</w:t>
      </w:r>
      <w:r w:rsidRPr="00C47D22">
        <w:rPr>
          <w:rFonts w:ascii="Arial" w:hAnsi="Arial" w:cs="Arial"/>
          <w:sz w:val="22"/>
          <w:szCs w:val="22"/>
        </w:rPr>
        <w:t>.From the past trend, it can be seen that the projection submitted by the licensee is justified.</w:t>
      </w:r>
    </w:p>
    <w:p w:rsidR="004D2478" w:rsidRPr="00C47D22" w:rsidRDefault="004D2478" w:rsidP="004D2478">
      <w:pPr>
        <w:pStyle w:val="BodyTextIndent2"/>
        <w:ind w:left="709" w:firstLine="0"/>
        <w:jc w:val="both"/>
        <w:rPr>
          <w:rFonts w:ascii="Arial" w:hAnsi="Arial" w:cs="Arial"/>
          <w:sz w:val="22"/>
          <w:szCs w:val="22"/>
        </w:rPr>
      </w:pPr>
    </w:p>
    <w:p w:rsidR="004D2478" w:rsidRPr="001E6BF4" w:rsidRDefault="004D2478" w:rsidP="004D2478">
      <w:pPr>
        <w:numPr>
          <w:ilvl w:val="0"/>
          <w:numId w:val="5"/>
        </w:numPr>
        <w:ind w:hanging="720"/>
        <w:jc w:val="both"/>
        <w:rPr>
          <w:rFonts w:ascii="Arial" w:hAnsi="Arial" w:cs="Arial"/>
          <w:b/>
          <w:sz w:val="22"/>
          <w:szCs w:val="22"/>
          <w:u w:val="single"/>
        </w:rPr>
      </w:pPr>
      <w:r w:rsidRPr="001E6BF4">
        <w:rPr>
          <w:rFonts w:ascii="Arial" w:hAnsi="Arial" w:cs="Arial"/>
          <w:b/>
          <w:sz w:val="22"/>
          <w:szCs w:val="22"/>
          <w:u w:val="single"/>
        </w:rPr>
        <w:t>Discontinuance of ‘Take or Pay Tariff’:</w:t>
      </w:r>
    </w:p>
    <w:p w:rsidR="004D2478" w:rsidRDefault="004D2478" w:rsidP="004D2478">
      <w:pPr>
        <w:ind w:left="720" w:hanging="720"/>
        <w:jc w:val="both"/>
        <w:rPr>
          <w:rFonts w:ascii="Arial" w:hAnsi="Arial" w:cs="Arial"/>
          <w:sz w:val="22"/>
          <w:szCs w:val="22"/>
        </w:rPr>
      </w:pPr>
    </w:p>
    <w:p w:rsidR="004D2478" w:rsidRDefault="004D2478" w:rsidP="00B22929">
      <w:pPr>
        <w:ind w:left="720" w:firstLine="720"/>
        <w:jc w:val="both"/>
        <w:rPr>
          <w:rFonts w:ascii="Arial" w:hAnsi="Arial" w:cs="Arial"/>
          <w:sz w:val="22"/>
          <w:szCs w:val="22"/>
        </w:rPr>
      </w:pPr>
      <w:r>
        <w:rPr>
          <w:rFonts w:ascii="Arial" w:hAnsi="Arial" w:cs="Arial"/>
          <w:sz w:val="22"/>
          <w:szCs w:val="22"/>
        </w:rPr>
        <w:t>T</w:t>
      </w:r>
      <w:r w:rsidRPr="001E6BF4">
        <w:rPr>
          <w:rFonts w:ascii="Arial" w:hAnsi="Arial" w:cs="Arial"/>
          <w:sz w:val="22"/>
          <w:szCs w:val="22"/>
        </w:rPr>
        <w:t xml:space="preserve">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got this benefit in addition to graded slab benefit without any increase in their load factor. </w:t>
      </w:r>
    </w:p>
    <w:p w:rsidR="004D2478" w:rsidRPr="001E6BF4" w:rsidRDefault="004D2478" w:rsidP="004D2478">
      <w:pPr>
        <w:ind w:left="720"/>
        <w:jc w:val="both"/>
        <w:rPr>
          <w:rFonts w:ascii="Arial" w:hAnsi="Arial" w:cs="Arial"/>
          <w:b/>
          <w:sz w:val="22"/>
          <w:szCs w:val="22"/>
        </w:rPr>
      </w:pPr>
    </w:p>
    <w:p w:rsidR="004D2478" w:rsidRDefault="004D2478" w:rsidP="004D2478">
      <w:pPr>
        <w:ind w:left="720"/>
        <w:jc w:val="both"/>
        <w:rPr>
          <w:rFonts w:ascii="Arial" w:hAnsi="Arial" w:cs="Arial"/>
          <w:sz w:val="22"/>
          <w:szCs w:val="22"/>
        </w:rPr>
      </w:pPr>
      <w:r w:rsidRPr="001E6BF4">
        <w:rPr>
          <w:rFonts w:ascii="Arial" w:hAnsi="Arial" w:cs="Arial"/>
          <w:sz w:val="22"/>
          <w:szCs w:val="22"/>
        </w:rPr>
        <w:t xml:space="preserve">As per introduction of ‘Assured Energy’ concept no such industries are coming forward to avail the same. That means in the previous method there was no such efficiency gain they were benefited because of Commission’s order only. The purpose of take or pay tariff was defeated </w:t>
      </w:r>
      <w:r>
        <w:rPr>
          <w:rFonts w:ascii="Arial" w:hAnsi="Arial" w:cs="Arial"/>
          <w:sz w:val="22"/>
          <w:szCs w:val="22"/>
        </w:rPr>
        <w:t xml:space="preserve">and accordingly the same was discontinued by Hon’ble Commission in the Tariff order for FY 13-14. </w:t>
      </w:r>
    </w:p>
    <w:p w:rsidR="004D2478" w:rsidRDefault="004D2478" w:rsidP="004D2478">
      <w:pPr>
        <w:ind w:left="720"/>
        <w:jc w:val="both"/>
        <w:rPr>
          <w:rFonts w:ascii="Arial" w:hAnsi="Arial" w:cs="Arial"/>
          <w:b/>
          <w:sz w:val="22"/>
          <w:szCs w:val="22"/>
          <w:u w:val="single"/>
        </w:rPr>
      </w:pPr>
    </w:p>
    <w:p w:rsidR="004D2478" w:rsidRPr="00B3345A" w:rsidRDefault="004D2478" w:rsidP="004D2478">
      <w:pPr>
        <w:pStyle w:val="ListParagraph"/>
        <w:numPr>
          <w:ilvl w:val="0"/>
          <w:numId w:val="5"/>
        </w:numPr>
        <w:tabs>
          <w:tab w:val="left" w:pos="0"/>
        </w:tabs>
        <w:contextualSpacing/>
        <w:jc w:val="both"/>
        <w:rPr>
          <w:rFonts w:ascii="Arial" w:hAnsi="Arial" w:cs="Arial"/>
          <w:b/>
          <w:sz w:val="22"/>
          <w:szCs w:val="22"/>
          <w:u w:val="single"/>
        </w:rPr>
      </w:pPr>
      <w:r w:rsidRPr="00B3345A">
        <w:rPr>
          <w:rFonts w:ascii="Arial" w:hAnsi="Arial" w:cs="Arial"/>
          <w:b/>
          <w:sz w:val="22"/>
          <w:szCs w:val="22"/>
          <w:u w:val="single"/>
        </w:rPr>
        <w:t>Incentive for higher Power Factor:</w:t>
      </w:r>
    </w:p>
    <w:p w:rsidR="004D2478" w:rsidRPr="00B3345A" w:rsidRDefault="004D2478" w:rsidP="004D2478">
      <w:pPr>
        <w:pStyle w:val="ListParagraph"/>
        <w:ind w:left="1260" w:hanging="630"/>
        <w:jc w:val="both"/>
        <w:rPr>
          <w:rFonts w:ascii="Arial" w:hAnsi="Arial" w:cs="Arial"/>
          <w:sz w:val="22"/>
          <w:szCs w:val="22"/>
        </w:rPr>
      </w:pPr>
    </w:p>
    <w:p w:rsidR="004D2478" w:rsidRDefault="004D2478" w:rsidP="00B22929">
      <w:pPr>
        <w:pStyle w:val="ListParagraph"/>
        <w:ind w:firstLine="720"/>
        <w:jc w:val="both"/>
        <w:rPr>
          <w:rFonts w:ascii="Arial" w:hAnsi="Arial" w:cs="Arial"/>
          <w:sz w:val="22"/>
          <w:szCs w:val="22"/>
        </w:rPr>
      </w:pPr>
      <w:r w:rsidRPr="00B3345A">
        <w:rPr>
          <w:rFonts w:ascii="Arial" w:hAnsi="Arial" w:cs="Arial"/>
          <w:sz w:val="22"/>
          <w:szCs w:val="22"/>
        </w:rPr>
        <w:t>The Hon’ble Commission has already clarified in the RST order of FY 2013-14 that by maintain power factor close to unity the consumer’s are able to kept their KVA demand at lower side and have become conscious of keeping their PF high for their own benefit. Hence incentive for maintain higher power factor is not justified.</w:t>
      </w:r>
    </w:p>
    <w:p w:rsidR="00B22929" w:rsidRPr="00B3345A" w:rsidRDefault="00B22929" w:rsidP="00B22929">
      <w:pPr>
        <w:pStyle w:val="ListParagraph"/>
        <w:ind w:firstLine="720"/>
        <w:jc w:val="both"/>
        <w:rPr>
          <w:rFonts w:ascii="Arial" w:hAnsi="Arial" w:cs="Arial"/>
          <w:sz w:val="22"/>
          <w:szCs w:val="22"/>
        </w:rPr>
      </w:pPr>
    </w:p>
    <w:p w:rsidR="00B22929" w:rsidRDefault="004D2478" w:rsidP="00B22929">
      <w:pPr>
        <w:pStyle w:val="ListParagraph"/>
        <w:ind w:firstLine="720"/>
        <w:jc w:val="both"/>
        <w:rPr>
          <w:rFonts w:ascii="Arial" w:hAnsi="Arial" w:cs="Arial"/>
          <w:sz w:val="22"/>
          <w:szCs w:val="22"/>
        </w:rPr>
      </w:pPr>
      <w:r w:rsidRPr="00B3345A">
        <w:rPr>
          <w:rFonts w:ascii="Arial" w:hAnsi="Arial" w:cs="Arial"/>
          <w:sz w:val="22"/>
          <w:szCs w:val="22"/>
        </w:rPr>
        <w:t xml:space="preserve">The applicant has also suggested the adoption of KVAH billing so that the question of power factor penalty and incentive will not arise. The detail submission on KVAH billing and power factor penalty in para </w:t>
      </w:r>
      <w:r>
        <w:rPr>
          <w:rFonts w:ascii="Arial" w:hAnsi="Arial" w:cs="Arial"/>
          <w:sz w:val="22"/>
          <w:szCs w:val="22"/>
        </w:rPr>
        <w:t>7</w:t>
      </w:r>
      <w:r w:rsidRPr="00B3345A">
        <w:rPr>
          <w:rFonts w:ascii="Arial" w:hAnsi="Arial" w:cs="Arial"/>
          <w:sz w:val="22"/>
          <w:szCs w:val="22"/>
        </w:rPr>
        <w:t>.</w:t>
      </w:r>
      <w:r>
        <w:rPr>
          <w:rFonts w:ascii="Arial" w:hAnsi="Arial" w:cs="Arial"/>
          <w:sz w:val="22"/>
          <w:szCs w:val="22"/>
        </w:rPr>
        <w:t>2</w:t>
      </w:r>
      <w:r w:rsidRPr="00B3345A">
        <w:rPr>
          <w:rFonts w:ascii="Arial" w:hAnsi="Arial" w:cs="Arial"/>
          <w:sz w:val="22"/>
          <w:szCs w:val="22"/>
        </w:rPr>
        <w:t xml:space="preserve"> &amp; </w:t>
      </w:r>
      <w:r>
        <w:rPr>
          <w:rFonts w:ascii="Arial" w:hAnsi="Arial" w:cs="Arial"/>
          <w:sz w:val="22"/>
          <w:szCs w:val="22"/>
        </w:rPr>
        <w:t>7</w:t>
      </w:r>
      <w:r w:rsidRPr="00B3345A">
        <w:rPr>
          <w:rFonts w:ascii="Arial" w:hAnsi="Arial" w:cs="Arial"/>
          <w:sz w:val="22"/>
          <w:szCs w:val="22"/>
        </w:rPr>
        <w:t>.</w:t>
      </w:r>
      <w:r>
        <w:rPr>
          <w:rFonts w:ascii="Arial" w:hAnsi="Arial" w:cs="Arial"/>
          <w:sz w:val="22"/>
          <w:szCs w:val="22"/>
        </w:rPr>
        <w:t>3</w:t>
      </w:r>
      <w:r w:rsidRPr="00B3345A">
        <w:rPr>
          <w:rFonts w:ascii="Arial" w:hAnsi="Arial" w:cs="Arial"/>
          <w:sz w:val="22"/>
          <w:szCs w:val="22"/>
        </w:rPr>
        <w:t xml:space="preserve"> respectively of ARR application FY 201</w:t>
      </w:r>
      <w:r>
        <w:rPr>
          <w:rFonts w:ascii="Arial" w:hAnsi="Arial" w:cs="Arial"/>
          <w:sz w:val="22"/>
          <w:szCs w:val="22"/>
        </w:rPr>
        <w:t>5</w:t>
      </w:r>
      <w:r w:rsidRPr="00B3345A">
        <w:rPr>
          <w:rFonts w:ascii="Arial" w:hAnsi="Arial" w:cs="Arial"/>
          <w:sz w:val="22"/>
          <w:szCs w:val="22"/>
        </w:rPr>
        <w:t>-1</w:t>
      </w:r>
      <w:r>
        <w:rPr>
          <w:rFonts w:ascii="Arial" w:hAnsi="Arial" w:cs="Arial"/>
          <w:sz w:val="22"/>
          <w:szCs w:val="22"/>
        </w:rPr>
        <w:t>6</w:t>
      </w:r>
      <w:r w:rsidRPr="00B3345A">
        <w:rPr>
          <w:rFonts w:ascii="Arial" w:hAnsi="Arial" w:cs="Arial"/>
          <w:sz w:val="22"/>
          <w:szCs w:val="22"/>
        </w:rPr>
        <w:t xml:space="preserve"> may please be referred by petitioner for further clarification.</w:t>
      </w:r>
      <w:r w:rsidRPr="00B3345A">
        <w:rPr>
          <w:rFonts w:ascii="Arial" w:hAnsi="Arial" w:cs="Arial"/>
          <w:sz w:val="22"/>
          <w:szCs w:val="22"/>
        </w:rPr>
        <w:tab/>
      </w:r>
    </w:p>
    <w:p w:rsidR="00B22929" w:rsidRDefault="00B22929" w:rsidP="00B22929">
      <w:pPr>
        <w:pStyle w:val="ListParagraph"/>
        <w:ind w:firstLine="720"/>
        <w:jc w:val="both"/>
        <w:rPr>
          <w:rFonts w:ascii="Arial" w:hAnsi="Arial" w:cs="Arial"/>
          <w:sz w:val="22"/>
          <w:szCs w:val="22"/>
        </w:rPr>
      </w:pPr>
    </w:p>
    <w:p w:rsidR="00B22929" w:rsidRPr="00B22929" w:rsidRDefault="00B22929" w:rsidP="00B22929">
      <w:pPr>
        <w:pStyle w:val="ListParagraph"/>
        <w:numPr>
          <w:ilvl w:val="0"/>
          <w:numId w:val="5"/>
        </w:numPr>
        <w:jc w:val="both"/>
        <w:rPr>
          <w:rFonts w:ascii="Arial" w:hAnsi="Arial" w:cs="Arial"/>
          <w:sz w:val="22"/>
          <w:szCs w:val="22"/>
        </w:rPr>
      </w:pPr>
      <w:r w:rsidRPr="004B7326">
        <w:rPr>
          <w:rFonts w:ascii="Arial" w:hAnsi="Arial" w:cs="Arial"/>
          <w:sz w:val="22"/>
          <w:szCs w:val="22"/>
        </w:rPr>
        <w:t>The, reply to the queries  of the Hon’ble OERC regarding the  Annual Revenue Requirement &amp; Retail Supply Tariff Application filed by NESCO for the year 201</w:t>
      </w:r>
      <w:r>
        <w:rPr>
          <w:rFonts w:ascii="Arial" w:hAnsi="Arial" w:cs="Arial"/>
          <w:sz w:val="22"/>
          <w:szCs w:val="22"/>
        </w:rPr>
        <w:t>5</w:t>
      </w:r>
      <w:r w:rsidRPr="004B7326">
        <w:rPr>
          <w:rFonts w:ascii="Arial" w:hAnsi="Arial" w:cs="Arial"/>
          <w:sz w:val="22"/>
          <w:szCs w:val="22"/>
        </w:rPr>
        <w:t>-1</w:t>
      </w:r>
      <w:r>
        <w:rPr>
          <w:rFonts w:ascii="Arial" w:hAnsi="Arial" w:cs="Arial"/>
          <w:sz w:val="22"/>
          <w:szCs w:val="22"/>
        </w:rPr>
        <w:t>6</w:t>
      </w:r>
      <w:r w:rsidRPr="004B7326">
        <w:rPr>
          <w:rFonts w:ascii="Arial" w:hAnsi="Arial" w:cs="Arial"/>
          <w:sz w:val="22"/>
          <w:szCs w:val="22"/>
        </w:rPr>
        <w:t xml:space="preserve"> have been placed in NESCO website </w:t>
      </w:r>
      <w:hyperlink r:id="rId7" w:history="1">
        <w:r w:rsidRPr="008F381C">
          <w:rPr>
            <w:rStyle w:val="Hyperlink"/>
            <w:rFonts w:ascii="Arial" w:hAnsi="Arial" w:cs="Arial"/>
            <w:sz w:val="22"/>
            <w:szCs w:val="22"/>
          </w:rPr>
          <w:t>www.nescoodisha.com</w:t>
        </w:r>
      </w:hyperlink>
      <w:r w:rsidRPr="004B7326">
        <w:rPr>
          <w:rFonts w:ascii="Arial" w:hAnsi="Arial" w:cs="Arial"/>
          <w:sz w:val="22"/>
          <w:szCs w:val="22"/>
        </w:rPr>
        <w:t>,  which may please  be referred.</w:t>
      </w:r>
      <w:r>
        <w:rPr>
          <w:rFonts w:ascii="Arial" w:hAnsi="Arial" w:cs="Arial"/>
          <w:sz w:val="22"/>
          <w:szCs w:val="22"/>
        </w:rPr>
        <w:t xml:space="preserve"> The submission of NESCO on OERC (Terms and Conditions of Determination of Wheeling Tariff &amp; Retail Supply Tariff) Regulations, 2014 dated 12.01.2015 is enclosed here with.</w:t>
      </w:r>
      <w:r w:rsidR="007921D5" w:rsidRPr="00C47D22">
        <w:rPr>
          <w:rFonts w:ascii="Arial" w:hAnsi="Arial" w:cs="Arial"/>
          <w:b/>
          <w:sz w:val="22"/>
          <w:szCs w:val="22"/>
        </w:rPr>
        <w:t xml:space="preserve"> </w:t>
      </w:r>
    </w:p>
    <w:p w:rsidR="00B22929" w:rsidRDefault="00B22929" w:rsidP="00B22929">
      <w:pPr>
        <w:pStyle w:val="ListParagraph"/>
        <w:jc w:val="both"/>
        <w:rPr>
          <w:rFonts w:ascii="Arial" w:hAnsi="Arial" w:cs="Arial"/>
          <w:b/>
          <w:sz w:val="22"/>
          <w:szCs w:val="22"/>
        </w:rPr>
      </w:pPr>
    </w:p>
    <w:p w:rsidR="00C47D22" w:rsidRPr="004B7326" w:rsidRDefault="007921D5" w:rsidP="00B22929">
      <w:pPr>
        <w:pStyle w:val="ListParagraph"/>
        <w:jc w:val="both"/>
        <w:rPr>
          <w:rFonts w:ascii="Arial" w:hAnsi="Arial" w:cs="Arial"/>
          <w:sz w:val="22"/>
          <w:szCs w:val="22"/>
        </w:rPr>
      </w:pPr>
      <w:r w:rsidRPr="00C47D22">
        <w:rPr>
          <w:rFonts w:ascii="Arial" w:hAnsi="Arial" w:cs="Arial"/>
          <w:b/>
          <w:sz w:val="22"/>
          <w:szCs w:val="22"/>
        </w:rPr>
        <w:t xml:space="preserve">                                                               </w:t>
      </w:r>
      <w:r w:rsidR="001E7650" w:rsidRPr="00C47D22">
        <w:rPr>
          <w:rFonts w:ascii="Arial" w:hAnsi="Arial" w:cs="Arial"/>
          <w:b/>
          <w:sz w:val="22"/>
          <w:szCs w:val="22"/>
        </w:rPr>
        <w:t xml:space="preserve">     </w:t>
      </w:r>
      <w:r w:rsidR="00076B74" w:rsidRPr="00C47D22">
        <w:rPr>
          <w:rFonts w:ascii="Arial" w:hAnsi="Arial" w:cs="Arial"/>
          <w:b/>
          <w:sz w:val="22"/>
          <w:szCs w:val="22"/>
        </w:rPr>
        <w:t xml:space="preserve">      </w:t>
      </w:r>
      <w:r w:rsidR="00C47D22" w:rsidRPr="004B7326">
        <w:rPr>
          <w:rFonts w:ascii="Arial" w:hAnsi="Arial" w:cs="Arial"/>
          <w:sz w:val="22"/>
          <w:szCs w:val="22"/>
        </w:rPr>
        <w:t xml:space="preserve">For and on behalf of   </w:t>
      </w:r>
    </w:p>
    <w:p w:rsidR="00C47D22" w:rsidRDefault="00C47D22" w:rsidP="00C47D22">
      <w:pPr>
        <w:tabs>
          <w:tab w:val="left" w:pos="4320"/>
        </w:tabs>
        <w:spacing w:line="276" w:lineRule="auto"/>
        <w:jc w:val="both"/>
        <w:rPr>
          <w:rFonts w:ascii="Arial" w:hAnsi="Arial" w:cs="Arial"/>
          <w:sz w:val="22"/>
          <w:szCs w:val="22"/>
        </w:rPr>
      </w:pPr>
      <w:r w:rsidRPr="004B7326">
        <w:rPr>
          <w:rFonts w:ascii="Arial" w:hAnsi="Arial" w:cs="Arial"/>
          <w:sz w:val="22"/>
          <w:szCs w:val="22"/>
        </w:rPr>
        <w:tab/>
      </w:r>
      <w:r w:rsidRPr="004B7326">
        <w:rPr>
          <w:rFonts w:ascii="Arial" w:hAnsi="Arial" w:cs="Arial"/>
          <w:sz w:val="22"/>
          <w:szCs w:val="22"/>
        </w:rPr>
        <w:tab/>
      </w:r>
      <w:r>
        <w:rPr>
          <w:rFonts w:ascii="Arial" w:hAnsi="Arial" w:cs="Arial"/>
          <w:sz w:val="22"/>
          <w:szCs w:val="22"/>
        </w:rPr>
        <w:t xml:space="preserve">              NESCO LTD</w:t>
      </w:r>
      <w:r w:rsidRPr="004B7326">
        <w:rPr>
          <w:rFonts w:ascii="Arial" w:hAnsi="Arial" w:cs="Arial"/>
          <w:sz w:val="22"/>
          <w:szCs w:val="22"/>
        </w:rPr>
        <w:t xml:space="preserve"> </w:t>
      </w:r>
    </w:p>
    <w:p w:rsidR="004D2478" w:rsidRPr="004B7326" w:rsidRDefault="004D2478" w:rsidP="00C47D22">
      <w:pPr>
        <w:tabs>
          <w:tab w:val="left" w:pos="4320"/>
        </w:tabs>
        <w:spacing w:line="276" w:lineRule="auto"/>
        <w:jc w:val="both"/>
        <w:rPr>
          <w:rFonts w:ascii="Arial" w:hAnsi="Arial" w:cs="Arial"/>
          <w:sz w:val="22"/>
          <w:szCs w:val="22"/>
        </w:rPr>
      </w:pPr>
    </w:p>
    <w:p w:rsidR="00C47D22" w:rsidRPr="004B7326" w:rsidRDefault="00AB529F" w:rsidP="00C47D22">
      <w:pPr>
        <w:tabs>
          <w:tab w:val="left" w:pos="6180"/>
        </w:tabs>
        <w:spacing w:line="276" w:lineRule="auto"/>
        <w:jc w:val="both"/>
        <w:rPr>
          <w:rFonts w:ascii="Arial" w:hAnsi="Arial" w:cs="Arial"/>
          <w:b/>
          <w:sz w:val="22"/>
          <w:szCs w:val="22"/>
        </w:rPr>
      </w:pPr>
      <w:r>
        <w:rPr>
          <w:rFonts w:ascii="Arial" w:hAnsi="Arial" w:cs="Arial"/>
          <w:b/>
          <w:sz w:val="22"/>
          <w:szCs w:val="22"/>
        </w:rPr>
        <w:t>3</w:t>
      </w:r>
      <w:r w:rsidR="00B22929">
        <w:rPr>
          <w:rFonts w:ascii="Arial" w:hAnsi="Arial" w:cs="Arial"/>
          <w:b/>
          <w:sz w:val="22"/>
          <w:szCs w:val="22"/>
        </w:rPr>
        <w:t>0</w:t>
      </w:r>
      <w:r w:rsidR="00C47D22">
        <w:rPr>
          <w:rFonts w:ascii="Arial" w:hAnsi="Arial" w:cs="Arial"/>
          <w:b/>
          <w:sz w:val="22"/>
          <w:szCs w:val="22"/>
        </w:rPr>
        <w:t>.01.1</w:t>
      </w:r>
      <w:r w:rsidR="00DD271E">
        <w:rPr>
          <w:rFonts w:ascii="Arial" w:hAnsi="Arial" w:cs="Arial"/>
          <w:b/>
          <w:sz w:val="22"/>
          <w:szCs w:val="22"/>
        </w:rPr>
        <w:t>5</w:t>
      </w:r>
      <w:r w:rsidR="00C47D22" w:rsidRPr="004B7326">
        <w:rPr>
          <w:rFonts w:ascii="Arial" w:hAnsi="Arial" w:cs="Arial"/>
          <w:b/>
          <w:sz w:val="22"/>
          <w:szCs w:val="22"/>
        </w:rPr>
        <w:tab/>
      </w:r>
      <w:r w:rsidR="00C47D22" w:rsidRPr="004B7326">
        <w:rPr>
          <w:rFonts w:ascii="Arial" w:hAnsi="Arial" w:cs="Arial"/>
          <w:b/>
          <w:sz w:val="22"/>
          <w:szCs w:val="22"/>
        </w:rPr>
        <w:tab/>
      </w:r>
      <w:r w:rsidR="00C47D22" w:rsidRPr="004B7326">
        <w:rPr>
          <w:rFonts w:ascii="Arial" w:hAnsi="Arial" w:cs="Arial"/>
          <w:b/>
          <w:sz w:val="22"/>
          <w:szCs w:val="22"/>
        </w:rPr>
        <w:tab/>
      </w:r>
    </w:p>
    <w:p w:rsidR="00C47D22" w:rsidRPr="004B7326" w:rsidRDefault="00C47D22" w:rsidP="00C47D22">
      <w:pPr>
        <w:spacing w:line="276" w:lineRule="auto"/>
        <w:ind w:left="3600"/>
        <w:rPr>
          <w:rFonts w:ascii="Arial" w:hAnsi="Arial" w:cs="Arial"/>
          <w:b/>
          <w:sz w:val="22"/>
          <w:szCs w:val="22"/>
        </w:rPr>
      </w:pPr>
      <w:r w:rsidRPr="004B7326">
        <w:rPr>
          <w:rFonts w:ascii="Arial" w:hAnsi="Arial" w:cs="Arial"/>
          <w:b/>
          <w:sz w:val="22"/>
          <w:szCs w:val="22"/>
        </w:rPr>
        <w:t xml:space="preserve">                                 </w:t>
      </w:r>
      <w:r>
        <w:rPr>
          <w:rFonts w:ascii="Arial" w:hAnsi="Arial" w:cs="Arial"/>
          <w:b/>
          <w:sz w:val="22"/>
          <w:szCs w:val="22"/>
        </w:rPr>
        <w:t xml:space="preserve">   </w:t>
      </w:r>
      <w:r w:rsidR="002733B8">
        <w:rPr>
          <w:rFonts w:ascii="Arial" w:hAnsi="Arial" w:cs="Arial"/>
          <w:b/>
          <w:sz w:val="22"/>
          <w:szCs w:val="22"/>
        </w:rPr>
        <w:t>Sr. General Manager</w:t>
      </w:r>
    </w:p>
    <w:p w:rsidR="000E7C00" w:rsidRPr="00C47D22" w:rsidRDefault="00C47D22" w:rsidP="00C47D22">
      <w:pPr>
        <w:pStyle w:val="BodyText"/>
        <w:spacing w:after="0" w:line="276" w:lineRule="auto"/>
        <w:ind w:left="720"/>
        <w:jc w:val="both"/>
        <w:rPr>
          <w:rFonts w:ascii="Arial" w:hAnsi="Arial" w:cs="Arial"/>
          <w:b/>
          <w:sz w:val="22"/>
          <w:szCs w:val="22"/>
        </w:rPr>
      </w:pPr>
      <w:r>
        <w:rPr>
          <w:rFonts w:ascii="Arial" w:hAnsi="Arial" w:cs="Arial"/>
          <w:b/>
          <w:sz w:val="22"/>
          <w:szCs w:val="22"/>
        </w:rPr>
        <w:t xml:space="preserve">                                                                           </w:t>
      </w:r>
      <w:r w:rsidRPr="004B7326">
        <w:rPr>
          <w:rFonts w:ascii="Arial" w:hAnsi="Arial" w:cs="Arial"/>
          <w:b/>
          <w:sz w:val="22"/>
          <w:szCs w:val="22"/>
        </w:rPr>
        <w:tab/>
      </w:r>
    </w:p>
    <w:p w:rsidR="00D70878" w:rsidRPr="00C47D22" w:rsidRDefault="007921D5" w:rsidP="00A66F47">
      <w:pPr>
        <w:pStyle w:val="BodyTextIndent2"/>
        <w:spacing w:line="276" w:lineRule="auto"/>
        <w:ind w:left="720" w:hanging="720"/>
        <w:jc w:val="both"/>
        <w:rPr>
          <w:rFonts w:ascii="Arial" w:hAnsi="Arial" w:cs="Arial"/>
          <w:bCs/>
          <w:sz w:val="22"/>
          <w:szCs w:val="22"/>
        </w:rPr>
      </w:pPr>
      <w:r w:rsidRPr="00C47D22">
        <w:rPr>
          <w:rFonts w:ascii="Arial" w:hAnsi="Arial" w:cs="Arial"/>
          <w:sz w:val="22"/>
          <w:szCs w:val="22"/>
        </w:rPr>
        <w:t xml:space="preserve">C.C.to </w:t>
      </w:r>
      <w:r w:rsidRPr="00C47D22">
        <w:rPr>
          <w:rFonts w:ascii="Arial" w:hAnsi="Arial" w:cs="Arial"/>
          <w:b/>
          <w:sz w:val="22"/>
          <w:szCs w:val="22"/>
        </w:rPr>
        <w:t xml:space="preserve">M/S </w:t>
      </w:r>
      <w:r w:rsidR="00A05511">
        <w:rPr>
          <w:rFonts w:ascii="Arial" w:hAnsi="Arial" w:cs="Arial"/>
          <w:b/>
          <w:sz w:val="22"/>
          <w:szCs w:val="22"/>
        </w:rPr>
        <w:t>Visa Steel Ltd., Kalinganagar Industrial Complex, At/Po: Jakhapura, Jajpur-755026.</w:t>
      </w:r>
      <w:r w:rsidR="002F280C" w:rsidRPr="00C47D22">
        <w:rPr>
          <w:rFonts w:ascii="Arial" w:hAnsi="Arial" w:cs="Arial"/>
          <w:b/>
          <w:sz w:val="22"/>
          <w:szCs w:val="22"/>
          <w:u w:val="single"/>
        </w:rPr>
        <w:t xml:space="preserve"> </w:t>
      </w:r>
      <w:r w:rsidR="00D70878" w:rsidRPr="00C47D22">
        <w:rPr>
          <w:rFonts w:ascii="Arial" w:hAnsi="Arial" w:cs="Arial"/>
          <w:b/>
          <w:sz w:val="22"/>
          <w:szCs w:val="22"/>
          <w:u w:val="single"/>
        </w:rPr>
        <w:t xml:space="preserve">    </w:t>
      </w:r>
    </w:p>
    <w:sectPr w:rsidR="00D70878" w:rsidRPr="00C47D22" w:rsidSect="00466BCB">
      <w:footerReference w:type="default" r:id="rId8"/>
      <w:pgSz w:w="12240" w:h="15840"/>
      <w:pgMar w:top="1134"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63D" w:rsidRDefault="0066263D" w:rsidP="00AC62D3">
      <w:r>
        <w:separator/>
      </w:r>
    </w:p>
  </w:endnote>
  <w:endnote w:type="continuationSeparator" w:id="1">
    <w:p w:rsidR="0066263D" w:rsidRDefault="0066263D" w:rsidP="00AC6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3" w:rsidRDefault="00AC62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63D" w:rsidRDefault="0066263D" w:rsidP="00AC62D3">
      <w:r>
        <w:separator/>
      </w:r>
    </w:p>
  </w:footnote>
  <w:footnote w:type="continuationSeparator" w:id="1">
    <w:p w:rsidR="0066263D" w:rsidRDefault="0066263D" w:rsidP="00AC6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EB6662"/>
    <w:multiLevelType w:val="hybridMultilevel"/>
    <w:tmpl w:val="603AFB08"/>
    <w:lvl w:ilvl="0" w:tplc="4009000F">
      <w:start w:val="1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578F0"/>
    <w:multiLevelType w:val="hybridMultilevel"/>
    <w:tmpl w:val="E624822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06FE9"/>
    <w:multiLevelType w:val="hybridMultilevel"/>
    <w:tmpl w:val="FFB8DE02"/>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652989"/>
    <w:multiLevelType w:val="hybridMultilevel"/>
    <w:tmpl w:val="D1B2260A"/>
    <w:lvl w:ilvl="0" w:tplc="D84C7E96">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A157C19"/>
    <w:multiLevelType w:val="hybridMultilevel"/>
    <w:tmpl w:val="C67ACF40"/>
    <w:lvl w:ilvl="0" w:tplc="814013A4">
      <w:start w:val="1"/>
      <w:numFmt w:val="decimal"/>
      <w:lvlText w:val="%1."/>
      <w:lvlJc w:val="left"/>
      <w:pPr>
        <w:ind w:left="720" w:hanging="360"/>
      </w:pPr>
      <w:rPr>
        <w:rFonts w:ascii="Arial" w:eastAsia="Times New Roman" w:hAnsi="Arial" w:cs="Arial" w:hint="default"/>
        <w: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6E048F0"/>
    <w:multiLevelType w:val="hybridMultilevel"/>
    <w:tmpl w:val="A9C44FA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53B92499"/>
    <w:multiLevelType w:val="hybridMultilevel"/>
    <w:tmpl w:val="B8B0C046"/>
    <w:lvl w:ilvl="0" w:tplc="4009000F">
      <w:start w:val="2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63E215D"/>
    <w:multiLevelType w:val="hybridMultilevel"/>
    <w:tmpl w:val="5DEA522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6A1B51E6"/>
    <w:multiLevelType w:val="hybridMultilevel"/>
    <w:tmpl w:val="14AA1C4A"/>
    <w:lvl w:ilvl="0" w:tplc="4009000F">
      <w:start w:val="1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A3A1208"/>
    <w:multiLevelType w:val="hybridMultilevel"/>
    <w:tmpl w:val="D3F4CFFC"/>
    <w:lvl w:ilvl="0" w:tplc="40090001">
      <w:start w:val="1"/>
      <w:numFmt w:val="bullet"/>
      <w:lvlText w:val=""/>
      <w:lvlJc w:val="left"/>
      <w:pPr>
        <w:tabs>
          <w:tab w:val="num" w:pos="2160"/>
        </w:tabs>
        <w:ind w:left="2160" w:hanging="360"/>
      </w:pPr>
      <w:rPr>
        <w:rFonts w:ascii="Symbol" w:hAnsi="Symbol" w:hint="default"/>
      </w:rPr>
    </w:lvl>
    <w:lvl w:ilvl="1" w:tplc="91305E30">
      <w:start w:val="1"/>
      <w:numFmt w:val="bullet"/>
      <w:lvlText w:val="o"/>
      <w:lvlJc w:val="left"/>
      <w:pPr>
        <w:tabs>
          <w:tab w:val="num" w:pos="2880"/>
        </w:tabs>
        <w:ind w:left="2880" w:hanging="360"/>
      </w:pPr>
      <w:rPr>
        <w:rFonts w:ascii="Courier New" w:hAnsi="Courier New" w:cs="Courier New" w:hint="default"/>
        <w:b/>
      </w:rPr>
    </w:lvl>
    <w:lvl w:ilvl="2" w:tplc="40090005" w:tentative="1">
      <w:start w:val="1"/>
      <w:numFmt w:val="bullet"/>
      <w:lvlText w:val=""/>
      <w:lvlJc w:val="left"/>
      <w:pPr>
        <w:tabs>
          <w:tab w:val="num" w:pos="3600"/>
        </w:tabs>
        <w:ind w:left="3600" w:hanging="360"/>
      </w:pPr>
      <w:rPr>
        <w:rFonts w:ascii="Wingdings" w:hAnsi="Wingdings" w:hint="default"/>
      </w:rPr>
    </w:lvl>
    <w:lvl w:ilvl="3" w:tplc="40090001" w:tentative="1">
      <w:start w:val="1"/>
      <w:numFmt w:val="bullet"/>
      <w:lvlText w:val=""/>
      <w:lvlJc w:val="left"/>
      <w:pPr>
        <w:tabs>
          <w:tab w:val="num" w:pos="4320"/>
        </w:tabs>
        <w:ind w:left="4320" w:hanging="360"/>
      </w:pPr>
      <w:rPr>
        <w:rFonts w:ascii="Symbol" w:hAnsi="Symbol" w:hint="default"/>
      </w:rPr>
    </w:lvl>
    <w:lvl w:ilvl="4" w:tplc="40090003" w:tentative="1">
      <w:start w:val="1"/>
      <w:numFmt w:val="bullet"/>
      <w:lvlText w:val="o"/>
      <w:lvlJc w:val="left"/>
      <w:pPr>
        <w:tabs>
          <w:tab w:val="num" w:pos="5040"/>
        </w:tabs>
        <w:ind w:left="5040" w:hanging="360"/>
      </w:pPr>
      <w:rPr>
        <w:rFonts w:ascii="Courier New" w:hAnsi="Courier New" w:cs="Courier New" w:hint="default"/>
      </w:rPr>
    </w:lvl>
    <w:lvl w:ilvl="5" w:tplc="40090005" w:tentative="1">
      <w:start w:val="1"/>
      <w:numFmt w:val="bullet"/>
      <w:lvlText w:val=""/>
      <w:lvlJc w:val="left"/>
      <w:pPr>
        <w:tabs>
          <w:tab w:val="num" w:pos="5760"/>
        </w:tabs>
        <w:ind w:left="5760" w:hanging="360"/>
      </w:pPr>
      <w:rPr>
        <w:rFonts w:ascii="Wingdings" w:hAnsi="Wingdings" w:hint="default"/>
      </w:rPr>
    </w:lvl>
    <w:lvl w:ilvl="6" w:tplc="40090001" w:tentative="1">
      <w:start w:val="1"/>
      <w:numFmt w:val="bullet"/>
      <w:lvlText w:val=""/>
      <w:lvlJc w:val="left"/>
      <w:pPr>
        <w:tabs>
          <w:tab w:val="num" w:pos="6480"/>
        </w:tabs>
        <w:ind w:left="6480" w:hanging="360"/>
      </w:pPr>
      <w:rPr>
        <w:rFonts w:ascii="Symbol" w:hAnsi="Symbol" w:hint="default"/>
      </w:rPr>
    </w:lvl>
    <w:lvl w:ilvl="7" w:tplc="40090003" w:tentative="1">
      <w:start w:val="1"/>
      <w:numFmt w:val="bullet"/>
      <w:lvlText w:val="o"/>
      <w:lvlJc w:val="left"/>
      <w:pPr>
        <w:tabs>
          <w:tab w:val="num" w:pos="7200"/>
        </w:tabs>
        <w:ind w:left="7200" w:hanging="360"/>
      </w:pPr>
      <w:rPr>
        <w:rFonts w:ascii="Courier New" w:hAnsi="Courier New" w:cs="Courier New" w:hint="default"/>
      </w:rPr>
    </w:lvl>
    <w:lvl w:ilvl="8" w:tplc="40090005" w:tentative="1">
      <w:start w:val="1"/>
      <w:numFmt w:val="bullet"/>
      <w:lvlText w:val=""/>
      <w:lvlJc w:val="left"/>
      <w:pPr>
        <w:tabs>
          <w:tab w:val="num" w:pos="7920"/>
        </w:tabs>
        <w:ind w:left="7920" w:hanging="360"/>
      </w:pPr>
      <w:rPr>
        <w:rFonts w:ascii="Wingdings" w:hAnsi="Wingdings" w:hint="default"/>
      </w:rPr>
    </w:lvl>
  </w:abstractNum>
  <w:abstractNum w:abstractNumId="12">
    <w:nsid w:val="734E4303"/>
    <w:multiLevelType w:val="hybridMultilevel"/>
    <w:tmpl w:val="98684620"/>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7CC1AB4"/>
    <w:multiLevelType w:val="hybridMultilevel"/>
    <w:tmpl w:val="C6FC60C4"/>
    <w:lvl w:ilvl="0" w:tplc="DDBAE77A">
      <w:start w:val="15"/>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E875AF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14"/>
  </w:num>
  <w:num w:numId="4">
    <w:abstractNumId w:val="11"/>
  </w:num>
  <w:num w:numId="5">
    <w:abstractNumId w:val="6"/>
  </w:num>
  <w:num w:numId="6">
    <w:abstractNumId w:val="7"/>
  </w:num>
  <w:num w:numId="7">
    <w:abstractNumId w:val="10"/>
  </w:num>
  <w:num w:numId="8">
    <w:abstractNumId w:val="5"/>
  </w:num>
  <w:num w:numId="9">
    <w:abstractNumId w:val="0"/>
  </w:num>
  <w:num w:numId="10">
    <w:abstractNumId w:val="1"/>
  </w:num>
  <w:num w:numId="11">
    <w:abstractNumId w:val="4"/>
  </w:num>
  <w:num w:numId="12">
    <w:abstractNumId w:val="8"/>
  </w:num>
  <w:num w:numId="13">
    <w:abstractNumId w:val="13"/>
  </w:num>
  <w:num w:numId="14">
    <w:abstractNumId w:val="12"/>
  </w:num>
  <w:num w:numId="1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characterSpacingControl w:val="doNotCompress"/>
  <w:footnotePr>
    <w:footnote w:id="0"/>
    <w:footnote w:id="1"/>
  </w:footnotePr>
  <w:endnotePr>
    <w:endnote w:id="0"/>
    <w:endnote w:id="1"/>
  </w:endnotePr>
  <w:compat/>
  <w:rsids>
    <w:rsidRoot w:val="00235C63"/>
    <w:rsid w:val="0000437E"/>
    <w:rsid w:val="00005BEF"/>
    <w:rsid w:val="000073F3"/>
    <w:rsid w:val="00012C01"/>
    <w:rsid w:val="00020C77"/>
    <w:rsid w:val="00031BC8"/>
    <w:rsid w:val="000359C0"/>
    <w:rsid w:val="00044D64"/>
    <w:rsid w:val="000500EA"/>
    <w:rsid w:val="00050FB0"/>
    <w:rsid w:val="00051A4A"/>
    <w:rsid w:val="0005548B"/>
    <w:rsid w:val="00064584"/>
    <w:rsid w:val="0007688B"/>
    <w:rsid w:val="00076B74"/>
    <w:rsid w:val="00077DA5"/>
    <w:rsid w:val="000810A6"/>
    <w:rsid w:val="00081610"/>
    <w:rsid w:val="000827CD"/>
    <w:rsid w:val="000904D6"/>
    <w:rsid w:val="000A3699"/>
    <w:rsid w:val="000B64CE"/>
    <w:rsid w:val="000B7066"/>
    <w:rsid w:val="000C3EEC"/>
    <w:rsid w:val="000C6D5F"/>
    <w:rsid w:val="000D3A1F"/>
    <w:rsid w:val="000D78C6"/>
    <w:rsid w:val="000E7C00"/>
    <w:rsid w:val="00113BC1"/>
    <w:rsid w:val="00116E32"/>
    <w:rsid w:val="001231BC"/>
    <w:rsid w:val="001318A3"/>
    <w:rsid w:val="00133DD4"/>
    <w:rsid w:val="0014160B"/>
    <w:rsid w:val="0014198B"/>
    <w:rsid w:val="0015133F"/>
    <w:rsid w:val="00155970"/>
    <w:rsid w:val="001608AF"/>
    <w:rsid w:val="00167DF7"/>
    <w:rsid w:val="001705F2"/>
    <w:rsid w:val="00172240"/>
    <w:rsid w:val="00172767"/>
    <w:rsid w:val="00174583"/>
    <w:rsid w:val="00175032"/>
    <w:rsid w:val="00187106"/>
    <w:rsid w:val="001A63BE"/>
    <w:rsid w:val="001B23F7"/>
    <w:rsid w:val="001B3BAB"/>
    <w:rsid w:val="001B42D1"/>
    <w:rsid w:val="001C0CD8"/>
    <w:rsid w:val="001C28C7"/>
    <w:rsid w:val="001C2FFF"/>
    <w:rsid w:val="001C3D09"/>
    <w:rsid w:val="001E51C3"/>
    <w:rsid w:val="001E6BF4"/>
    <w:rsid w:val="001E7650"/>
    <w:rsid w:val="001F0980"/>
    <w:rsid w:val="0020321C"/>
    <w:rsid w:val="00211C2D"/>
    <w:rsid w:val="002133B8"/>
    <w:rsid w:val="002232FB"/>
    <w:rsid w:val="00226EF7"/>
    <w:rsid w:val="00235C63"/>
    <w:rsid w:val="00235EF9"/>
    <w:rsid w:val="00266B53"/>
    <w:rsid w:val="00270862"/>
    <w:rsid w:val="00271D8D"/>
    <w:rsid w:val="002733B8"/>
    <w:rsid w:val="0028329A"/>
    <w:rsid w:val="00285CB4"/>
    <w:rsid w:val="002A6A6D"/>
    <w:rsid w:val="002A7EB8"/>
    <w:rsid w:val="002B45F0"/>
    <w:rsid w:val="002B7752"/>
    <w:rsid w:val="002C3916"/>
    <w:rsid w:val="002E2292"/>
    <w:rsid w:val="002E648A"/>
    <w:rsid w:val="002F280C"/>
    <w:rsid w:val="00312A9F"/>
    <w:rsid w:val="003137AB"/>
    <w:rsid w:val="003220F9"/>
    <w:rsid w:val="003321CA"/>
    <w:rsid w:val="00337DA4"/>
    <w:rsid w:val="003401B5"/>
    <w:rsid w:val="00363F24"/>
    <w:rsid w:val="00365999"/>
    <w:rsid w:val="00365A0D"/>
    <w:rsid w:val="00377422"/>
    <w:rsid w:val="0039317C"/>
    <w:rsid w:val="003A47AB"/>
    <w:rsid w:val="003A6D57"/>
    <w:rsid w:val="003A7F2B"/>
    <w:rsid w:val="003C223C"/>
    <w:rsid w:val="003C23B0"/>
    <w:rsid w:val="003D1D70"/>
    <w:rsid w:val="003D2037"/>
    <w:rsid w:val="003E634C"/>
    <w:rsid w:val="003F575D"/>
    <w:rsid w:val="003F70CC"/>
    <w:rsid w:val="00411880"/>
    <w:rsid w:val="0041788C"/>
    <w:rsid w:val="0042309E"/>
    <w:rsid w:val="00425C1B"/>
    <w:rsid w:val="0042614A"/>
    <w:rsid w:val="004442A2"/>
    <w:rsid w:val="00444FB1"/>
    <w:rsid w:val="004503DC"/>
    <w:rsid w:val="00457F4C"/>
    <w:rsid w:val="00466328"/>
    <w:rsid w:val="00466BCB"/>
    <w:rsid w:val="00475043"/>
    <w:rsid w:val="004835A0"/>
    <w:rsid w:val="00484AD1"/>
    <w:rsid w:val="0048577C"/>
    <w:rsid w:val="00490FCB"/>
    <w:rsid w:val="00494701"/>
    <w:rsid w:val="00496AAF"/>
    <w:rsid w:val="004B7326"/>
    <w:rsid w:val="004D2478"/>
    <w:rsid w:val="004F1F13"/>
    <w:rsid w:val="005005DD"/>
    <w:rsid w:val="00503857"/>
    <w:rsid w:val="0050444F"/>
    <w:rsid w:val="00517423"/>
    <w:rsid w:val="00525D0F"/>
    <w:rsid w:val="00543CC9"/>
    <w:rsid w:val="00546DE2"/>
    <w:rsid w:val="0055250C"/>
    <w:rsid w:val="00554B2E"/>
    <w:rsid w:val="0057415B"/>
    <w:rsid w:val="005A0600"/>
    <w:rsid w:val="005A77E5"/>
    <w:rsid w:val="005C4FDC"/>
    <w:rsid w:val="005D2258"/>
    <w:rsid w:val="005E178E"/>
    <w:rsid w:val="005E6A67"/>
    <w:rsid w:val="005E767F"/>
    <w:rsid w:val="005F721C"/>
    <w:rsid w:val="00606A2F"/>
    <w:rsid w:val="00607C49"/>
    <w:rsid w:val="0061761D"/>
    <w:rsid w:val="0062332C"/>
    <w:rsid w:val="00625CF2"/>
    <w:rsid w:val="00630215"/>
    <w:rsid w:val="006572ED"/>
    <w:rsid w:val="0066263D"/>
    <w:rsid w:val="00665D54"/>
    <w:rsid w:val="0067207A"/>
    <w:rsid w:val="00676E43"/>
    <w:rsid w:val="006776F1"/>
    <w:rsid w:val="00680E8C"/>
    <w:rsid w:val="0068468A"/>
    <w:rsid w:val="00686656"/>
    <w:rsid w:val="00691633"/>
    <w:rsid w:val="00692059"/>
    <w:rsid w:val="006A4867"/>
    <w:rsid w:val="006A5468"/>
    <w:rsid w:val="006E00BD"/>
    <w:rsid w:val="006E4F80"/>
    <w:rsid w:val="006E7339"/>
    <w:rsid w:val="006F5F27"/>
    <w:rsid w:val="007031DB"/>
    <w:rsid w:val="00713CF2"/>
    <w:rsid w:val="007371D5"/>
    <w:rsid w:val="0073749E"/>
    <w:rsid w:val="007439A3"/>
    <w:rsid w:val="0075405B"/>
    <w:rsid w:val="007542CD"/>
    <w:rsid w:val="00757FF8"/>
    <w:rsid w:val="007618AC"/>
    <w:rsid w:val="00762C53"/>
    <w:rsid w:val="00781370"/>
    <w:rsid w:val="007921D5"/>
    <w:rsid w:val="00793903"/>
    <w:rsid w:val="00794EF9"/>
    <w:rsid w:val="007B4581"/>
    <w:rsid w:val="007C4123"/>
    <w:rsid w:val="007D1545"/>
    <w:rsid w:val="007D4920"/>
    <w:rsid w:val="007D5D31"/>
    <w:rsid w:val="007D760D"/>
    <w:rsid w:val="007D7ECC"/>
    <w:rsid w:val="007E54FA"/>
    <w:rsid w:val="007F0D4F"/>
    <w:rsid w:val="007F3180"/>
    <w:rsid w:val="007F780C"/>
    <w:rsid w:val="008155E9"/>
    <w:rsid w:val="00822A10"/>
    <w:rsid w:val="00824B0A"/>
    <w:rsid w:val="0083538F"/>
    <w:rsid w:val="00847130"/>
    <w:rsid w:val="00857D4D"/>
    <w:rsid w:val="00866885"/>
    <w:rsid w:val="0087245D"/>
    <w:rsid w:val="00873C72"/>
    <w:rsid w:val="00875584"/>
    <w:rsid w:val="008772A2"/>
    <w:rsid w:val="00877923"/>
    <w:rsid w:val="008908E3"/>
    <w:rsid w:val="00892792"/>
    <w:rsid w:val="00892962"/>
    <w:rsid w:val="008B0E31"/>
    <w:rsid w:val="008C4476"/>
    <w:rsid w:val="008D7EA6"/>
    <w:rsid w:val="008E6FE8"/>
    <w:rsid w:val="009002B6"/>
    <w:rsid w:val="0090223E"/>
    <w:rsid w:val="00904A1C"/>
    <w:rsid w:val="009112C7"/>
    <w:rsid w:val="00913AC4"/>
    <w:rsid w:val="00953709"/>
    <w:rsid w:val="00955322"/>
    <w:rsid w:val="0096340C"/>
    <w:rsid w:val="009652AD"/>
    <w:rsid w:val="00971A80"/>
    <w:rsid w:val="009A5A85"/>
    <w:rsid w:val="009B5B64"/>
    <w:rsid w:val="009B73BB"/>
    <w:rsid w:val="009C3CAA"/>
    <w:rsid w:val="009D1983"/>
    <w:rsid w:val="009D496F"/>
    <w:rsid w:val="009D4E03"/>
    <w:rsid w:val="009D7CCF"/>
    <w:rsid w:val="009E7225"/>
    <w:rsid w:val="00A05511"/>
    <w:rsid w:val="00A0704D"/>
    <w:rsid w:val="00A07465"/>
    <w:rsid w:val="00A11257"/>
    <w:rsid w:val="00A20A30"/>
    <w:rsid w:val="00A400BF"/>
    <w:rsid w:val="00A4013E"/>
    <w:rsid w:val="00A4297C"/>
    <w:rsid w:val="00A527EB"/>
    <w:rsid w:val="00A60C8C"/>
    <w:rsid w:val="00A654DF"/>
    <w:rsid w:val="00A66F47"/>
    <w:rsid w:val="00A77A00"/>
    <w:rsid w:val="00AA7118"/>
    <w:rsid w:val="00AB529F"/>
    <w:rsid w:val="00AC62D3"/>
    <w:rsid w:val="00AC7920"/>
    <w:rsid w:val="00AD26A3"/>
    <w:rsid w:val="00AD483B"/>
    <w:rsid w:val="00AF126D"/>
    <w:rsid w:val="00AF3AC5"/>
    <w:rsid w:val="00B05455"/>
    <w:rsid w:val="00B0673D"/>
    <w:rsid w:val="00B14344"/>
    <w:rsid w:val="00B16C46"/>
    <w:rsid w:val="00B1741B"/>
    <w:rsid w:val="00B22929"/>
    <w:rsid w:val="00B3345A"/>
    <w:rsid w:val="00B33DAB"/>
    <w:rsid w:val="00B37252"/>
    <w:rsid w:val="00B5230B"/>
    <w:rsid w:val="00B57F22"/>
    <w:rsid w:val="00B674E7"/>
    <w:rsid w:val="00B72DB3"/>
    <w:rsid w:val="00B761AF"/>
    <w:rsid w:val="00B97F39"/>
    <w:rsid w:val="00BA6545"/>
    <w:rsid w:val="00BD4E95"/>
    <w:rsid w:val="00BD7164"/>
    <w:rsid w:val="00C11D6B"/>
    <w:rsid w:val="00C1382A"/>
    <w:rsid w:val="00C17BDB"/>
    <w:rsid w:val="00C21055"/>
    <w:rsid w:val="00C214B9"/>
    <w:rsid w:val="00C2429A"/>
    <w:rsid w:val="00C47D22"/>
    <w:rsid w:val="00C525A1"/>
    <w:rsid w:val="00C61502"/>
    <w:rsid w:val="00C72837"/>
    <w:rsid w:val="00C82FA3"/>
    <w:rsid w:val="00C92CFD"/>
    <w:rsid w:val="00CA2C07"/>
    <w:rsid w:val="00CA4218"/>
    <w:rsid w:val="00CD0157"/>
    <w:rsid w:val="00CD74A7"/>
    <w:rsid w:val="00CE1889"/>
    <w:rsid w:val="00CE469E"/>
    <w:rsid w:val="00D02DE1"/>
    <w:rsid w:val="00D04446"/>
    <w:rsid w:val="00D06831"/>
    <w:rsid w:val="00D11DA3"/>
    <w:rsid w:val="00D23EA0"/>
    <w:rsid w:val="00D31C27"/>
    <w:rsid w:val="00D41984"/>
    <w:rsid w:val="00D51018"/>
    <w:rsid w:val="00D53979"/>
    <w:rsid w:val="00D624BF"/>
    <w:rsid w:val="00D64BC9"/>
    <w:rsid w:val="00D70878"/>
    <w:rsid w:val="00D80492"/>
    <w:rsid w:val="00D82467"/>
    <w:rsid w:val="00D833FA"/>
    <w:rsid w:val="00D85C8C"/>
    <w:rsid w:val="00D92A81"/>
    <w:rsid w:val="00DA301D"/>
    <w:rsid w:val="00DA73B7"/>
    <w:rsid w:val="00DC20BD"/>
    <w:rsid w:val="00DC5BDA"/>
    <w:rsid w:val="00DC6A2C"/>
    <w:rsid w:val="00DD271E"/>
    <w:rsid w:val="00DD3F76"/>
    <w:rsid w:val="00DD5036"/>
    <w:rsid w:val="00DD681B"/>
    <w:rsid w:val="00DE1B30"/>
    <w:rsid w:val="00DE5BF2"/>
    <w:rsid w:val="00DF5D63"/>
    <w:rsid w:val="00DF702C"/>
    <w:rsid w:val="00E21CCA"/>
    <w:rsid w:val="00E2216F"/>
    <w:rsid w:val="00E25B93"/>
    <w:rsid w:val="00E5442B"/>
    <w:rsid w:val="00E66A1C"/>
    <w:rsid w:val="00E77911"/>
    <w:rsid w:val="00E95DB9"/>
    <w:rsid w:val="00EA3B4A"/>
    <w:rsid w:val="00EA4951"/>
    <w:rsid w:val="00EB6728"/>
    <w:rsid w:val="00EC1835"/>
    <w:rsid w:val="00EC32F1"/>
    <w:rsid w:val="00ED1ABF"/>
    <w:rsid w:val="00ED1B53"/>
    <w:rsid w:val="00EE06F9"/>
    <w:rsid w:val="00EF2653"/>
    <w:rsid w:val="00EF4223"/>
    <w:rsid w:val="00EF4952"/>
    <w:rsid w:val="00F0597A"/>
    <w:rsid w:val="00F12F2D"/>
    <w:rsid w:val="00F3033B"/>
    <w:rsid w:val="00F33594"/>
    <w:rsid w:val="00F371BB"/>
    <w:rsid w:val="00F4451B"/>
    <w:rsid w:val="00F52AED"/>
    <w:rsid w:val="00F57083"/>
    <w:rsid w:val="00F604CE"/>
    <w:rsid w:val="00F67BC5"/>
    <w:rsid w:val="00F74698"/>
    <w:rsid w:val="00F74BF3"/>
    <w:rsid w:val="00F74F4D"/>
    <w:rsid w:val="00F7678B"/>
    <w:rsid w:val="00F82CC3"/>
    <w:rsid w:val="00F83A42"/>
    <w:rsid w:val="00F860CC"/>
    <w:rsid w:val="00F86622"/>
    <w:rsid w:val="00F91166"/>
    <w:rsid w:val="00F95B47"/>
    <w:rsid w:val="00F961C9"/>
    <w:rsid w:val="00F96CA0"/>
    <w:rsid w:val="00FA02EC"/>
    <w:rsid w:val="00FA1105"/>
    <w:rsid w:val="00FA6C38"/>
    <w:rsid w:val="00FE671A"/>
    <w:rsid w:val="00FF6F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980"/>
    <w:rPr>
      <w:sz w:val="24"/>
      <w:szCs w:val="24"/>
    </w:rPr>
  </w:style>
  <w:style w:type="paragraph" w:styleId="Heading2">
    <w:name w:val="heading 2"/>
    <w:basedOn w:val="Normal"/>
    <w:next w:val="Normal"/>
    <w:qFormat/>
    <w:rsid w:val="00762C53"/>
    <w:pPr>
      <w:keepNext/>
      <w:outlineLvl w:val="1"/>
    </w:pPr>
    <w:rPr>
      <w:sz w:val="28"/>
    </w:rPr>
  </w:style>
  <w:style w:type="paragraph" w:styleId="Heading3">
    <w:name w:val="heading 3"/>
    <w:basedOn w:val="Normal"/>
    <w:next w:val="Normal"/>
    <w:qFormat/>
    <w:rsid w:val="008E6FE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66BCB"/>
    <w:pPr>
      <w:ind w:left="2340" w:hanging="2340"/>
    </w:pPr>
  </w:style>
  <w:style w:type="character" w:styleId="Hyperlink">
    <w:name w:val="Hyperlink"/>
    <w:basedOn w:val="DefaultParagraphFont"/>
    <w:rsid w:val="00466BCB"/>
    <w:rPr>
      <w:color w:val="0000FF"/>
      <w:u w:val="single"/>
    </w:rPr>
  </w:style>
  <w:style w:type="paragraph" w:styleId="BodyText">
    <w:name w:val="Body Text"/>
    <w:basedOn w:val="Normal"/>
    <w:rsid w:val="00466BCB"/>
    <w:pPr>
      <w:spacing w:after="120"/>
    </w:p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E21CCA"/>
    <w:pPr>
      <w:tabs>
        <w:tab w:val="num" w:pos="360"/>
        <w:tab w:val="left" w:pos="720"/>
      </w:tabs>
      <w:spacing w:before="120" w:after="180"/>
      <w:ind w:left="360" w:hanging="360"/>
    </w:pPr>
    <w:rPr>
      <w:rFonts w:ascii="Arial" w:hAnsi="Arial"/>
      <w:sz w:val="20"/>
      <w:szCs w:val="20"/>
      <w:lang w:val="en-GB"/>
    </w:rPr>
  </w:style>
  <w:style w:type="paragraph" w:styleId="Closing">
    <w:name w:val="Closing"/>
    <w:basedOn w:val="Normal"/>
    <w:next w:val="Normal"/>
    <w:link w:val="ClosingChar"/>
    <w:rsid w:val="00E21CCA"/>
    <w:pPr>
      <w:autoSpaceDE w:val="0"/>
      <w:autoSpaceDN w:val="0"/>
      <w:adjustRightInd w:val="0"/>
    </w:pPr>
    <w:rPr>
      <w:rFonts w:ascii="ELGMPJ+TimesNewRoman,Bold" w:hAnsi="ELGMPJ+TimesNewRoman,Bold"/>
    </w:rPr>
  </w:style>
  <w:style w:type="paragraph" w:styleId="Footer">
    <w:name w:val="footer"/>
    <w:basedOn w:val="Normal"/>
    <w:link w:val="FooterChar"/>
    <w:uiPriority w:val="99"/>
    <w:rsid w:val="00A527EB"/>
    <w:pPr>
      <w:tabs>
        <w:tab w:val="center" w:pos="4320"/>
        <w:tab w:val="right" w:pos="8640"/>
      </w:tabs>
    </w:pPr>
  </w:style>
  <w:style w:type="character" w:styleId="PageNumber">
    <w:name w:val="page number"/>
    <w:basedOn w:val="DefaultParagraphFont"/>
    <w:rsid w:val="00A527EB"/>
  </w:style>
  <w:style w:type="paragraph" w:styleId="BodyText3">
    <w:name w:val="Body Text 3"/>
    <w:basedOn w:val="Normal"/>
    <w:rsid w:val="00A527EB"/>
    <w:pPr>
      <w:spacing w:after="120"/>
    </w:pPr>
    <w:rPr>
      <w:sz w:val="16"/>
      <w:szCs w:val="16"/>
    </w:rPr>
  </w:style>
  <w:style w:type="paragraph" w:styleId="BodyText2">
    <w:name w:val="Body Text 2"/>
    <w:basedOn w:val="Normal"/>
    <w:rsid w:val="00A527EB"/>
    <w:pPr>
      <w:spacing w:after="120" w:line="480" w:lineRule="auto"/>
    </w:pPr>
  </w:style>
  <w:style w:type="paragraph" w:styleId="Header">
    <w:name w:val="header"/>
    <w:basedOn w:val="Normal"/>
    <w:rsid w:val="00A527EB"/>
    <w:pPr>
      <w:tabs>
        <w:tab w:val="center" w:pos="4320"/>
        <w:tab w:val="right" w:pos="8640"/>
      </w:tabs>
    </w:pPr>
  </w:style>
  <w:style w:type="table" w:styleId="TableGrid">
    <w:name w:val="Table Grid"/>
    <w:basedOn w:val="TableNormal"/>
    <w:rsid w:val="008E6F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68A"/>
    <w:pPr>
      <w:ind w:left="720"/>
    </w:pPr>
  </w:style>
  <w:style w:type="character" w:customStyle="1" w:styleId="BodyTextIndent2Char">
    <w:name w:val="Body Text Indent 2 Char"/>
    <w:basedOn w:val="DefaultParagraphFont"/>
    <w:link w:val="BodyTextIndent2"/>
    <w:rsid w:val="00B14344"/>
    <w:rPr>
      <w:sz w:val="24"/>
      <w:szCs w:val="24"/>
    </w:rPr>
  </w:style>
  <w:style w:type="character" w:customStyle="1" w:styleId="ClosingChar">
    <w:name w:val="Closing Char"/>
    <w:basedOn w:val="DefaultParagraphFont"/>
    <w:link w:val="Closing"/>
    <w:rsid w:val="001F0980"/>
    <w:rPr>
      <w:rFonts w:ascii="ELGMPJ+TimesNewRoman,Bold" w:hAnsi="ELGMPJ+TimesNewRoman,Bold"/>
      <w:sz w:val="24"/>
      <w:szCs w:val="24"/>
    </w:rPr>
  </w:style>
  <w:style w:type="paragraph" w:customStyle="1" w:styleId="ARR-normalbody">
    <w:name w:val="ARR - normal body"/>
    <w:basedOn w:val="BodyText"/>
    <w:autoRedefine/>
    <w:rsid w:val="0005548B"/>
    <w:pPr>
      <w:tabs>
        <w:tab w:val="left" w:pos="360"/>
        <w:tab w:val="left" w:pos="450"/>
        <w:tab w:val="left" w:pos="540"/>
        <w:tab w:val="left" w:pos="720"/>
        <w:tab w:val="left" w:pos="2790"/>
        <w:tab w:val="left" w:pos="2992"/>
        <w:tab w:val="left" w:pos="3060"/>
        <w:tab w:val="left" w:pos="3179"/>
      </w:tabs>
      <w:spacing w:before="120" w:after="240"/>
      <w:ind w:left="720"/>
      <w:jc w:val="both"/>
    </w:pPr>
    <w:rPr>
      <w:rFonts w:ascii="Arial" w:hAnsi="Arial" w:cs="Arial"/>
      <w:sz w:val="22"/>
      <w:szCs w:val="22"/>
      <w:lang w:val="en-GB"/>
    </w:rPr>
  </w:style>
  <w:style w:type="character" w:customStyle="1" w:styleId="FooterChar">
    <w:name w:val="Footer Char"/>
    <w:basedOn w:val="DefaultParagraphFont"/>
    <w:link w:val="Footer"/>
    <w:uiPriority w:val="99"/>
    <w:rsid w:val="00AC62D3"/>
    <w:rPr>
      <w:sz w:val="24"/>
      <w:szCs w:val="24"/>
      <w:lang w:val="en-US" w:eastAsia="en-US"/>
    </w:rPr>
  </w:style>
  <w:style w:type="paragraph" w:styleId="NoSpacing">
    <w:name w:val="No Spacing"/>
    <w:uiPriority w:val="1"/>
    <w:qFormat/>
    <w:rsid w:val="00A4297C"/>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8233</CharactersWithSpaces>
  <SharedDoc>false</SharedDoc>
  <HLinks>
    <vt:vector size="6" baseType="variant">
      <vt:variant>
        <vt:i4>2162809</vt:i4>
      </vt:variant>
      <vt:variant>
        <vt:i4>0</vt:i4>
      </vt:variant>
      <vt:variant>
        <vt:i4>0</vt:i4>
      </vt:variant>
      <vt:variant>
        <vt:i4>5</vt:i4>
      </vt:variant>
      <vt:variant>
        <vt:lpwstr>http://www.nescoodisha.com/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cso</dc:creator>
  <cp:keywords/>
  <dc:description/>
  <cp:lastModifiedBy>SUDIP</cp:lastModifiedBy>
  <cp:revision>5</cp:revision>
  <cp:lastPrinted>2013-01-29T07:09:00Z</cp:lastPrinted>
  <dcterms:created xsi:type="dcterms:W3CDTF">2015-01-30T06:13:00Z</dcterms:created>
  <dcterms:modified xsi:type="dcterms:W3CDTF">2015-01-30T10:44:00Z</dcterms:modified>
</cp:coreProperties>
</file>